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B5A34" w14:textId="77777777" w:rsidR="006A1F24" w:rsidRPr="00C20794" w:rsidRDefault="006A1F24" w:rsidP="006A1F24">
      <w:pPr>
        <w:jc w:val="center"/>
        <w:rPr>
          <w:b/>
          <w:sz w:val="28"/>
          <w:szCs w:val="28"/>
        </w:rPr>
      </w:pPr>
      <w:r w:rsidRPr="00C20794">
        <w:rPr>
          <w:b/>
          <w:sz w:val="28"/>
          <w:szCs w:val="28"/>
        </w:rPr>
        <w:t>SIA „Jēkabpils reģionālā slimnīca”</w:t>
      </w:r>
    </w:p>
    <w:p w14:paraId="73B045A5" w14:textId="77777777" w:rsidR="00C20794" w:rsidRDefault="00C20794" w:rsidP="006A1F24">
      <w:pPr>
        <w:jc w:val="center"/>
      </w:pPr>
    </w:p>
    <w:p w14:paraId="4C6CB317" w14:textId="2584AA0B" w:rsidR="009D5415" w:rsidRPr="00C20794" w:rsidRDefault="00151F1D" w:rsidP="006A1F24">
      <w:pPr>
        <w:jc w:val="center"/>
        <w:rPr>
          <w:b/>
          <w:sz w:val="28"/>
          <w:szCs w:val="28"/>
        </w:rPr>
      </w:pPr>
      <w:r w:rsidRPr="00C20794">
        <w:rPr>
          <w:b/>
          <w:sz w:val="28"/>
          <w:szCs w:val="28"/>
        </w:rPr>
        <w:t>FINANŠU UN NEFINANŠU MĒRĶU izpilde</w:t>
      </w:r>
      <w:r w:rsidR="006A1F24" w:rsidRPr="00C20794">
        <w:rPr>
          <w:b/>
          <w:sz w:val="28"/>
          <w:szCs w:val="28"/>
        </w:rPr>
        <w:t xml:space="preserve"> 201</w:t>
      </w:r>
      <w:r w:rsidR="00186734">
        <w:rPr>
          <w:b/>
          <w:sz w:val="28"/>
          <w:szCs w:val="28"/>
        </w:rPr>
        <w:t>5</w:t>
      </w:r>
      <w:r w:rsidR="006A1F24" w:rsidRPr="00C20794">
        <w:rPr>
          <w:b/>
          <w:sz w:val="28"/>
          <w:szCs w:val="28"/>
        </w:rPr>
        <w:t>.</w:t>
      </w:r>
      <w:r w:rsidR="00186734">
        <w:rPr>
          <w:b/>
          <w:sz w:val="28"/>
          <w:szCs w:val="28"/>
        </w:rPr>
        <w:t>-2019.</w:t>
      </w:r>
      <w:r w:rsidR="00B320C8">
        <w:rPr>
          <w:b/>
          <w:sz w:val="28"/>
          <w:szCs w:val="28"/>
        </w:rPr>
        <w:t> </w:t>
      </w:r>
      <w:r w:rsidR="006A1F24" w:rsidRPr="00C20794">
        <w:rPr>
          <w:b/>
          <w:sz w:val="28"/>
          <w:szCs w:val="28"/>
        </w:rPr>
        <w:t>gadā</w:t>
      </w:r>
    </w:p>
    <w:p w14:paraId="011F65C8" w14:textId="77777777" w:rsidR="006A1F24" w:rsidRDefault="006A1F24" w:rsidP="006A1F24">
      <w:pPr>
        <w:jc w:val="center"/>
      </w:pPr>
    </w:p>
    <w:p w14:paraId="2C9056C4" w14:textId="77777777" w:rsidR="009E5763" w:rsidRDefault="009E5763" w:rsidP="009E5763">
      <w:r w:rsidRPr="005162FA">
        <w:rPr>
          <w:b/>
        </w:rPr>
        <w:t>SIA „Jēkabpils reģionālās slimnīca” mērķis</w:t>
      </w:r>
      <w:r w:rsidRPr="009574C4">
        <w:t xml:space="preserve"> ir</w:t>
      </w:r>
      <w:r w:rsidRPr="009574C4">
        <w:rPr>
          <w:b/>
        </w:rPr>
        <w:t xml:space="preserve"> </w:t>
      </w:r>
      <w:r w:rsidRPr="009574C4">
        <w:t xml:space="preserve">attīstīt slimnīcu kā daudzprofilu neatliekamās medicīnas palīdzības slimnīcu ar augtas kvalitātes diagnostiku un ārstēšanu gan stacionārā, gan ambulatorajā sadaļā, nodrošinot augsta līmeņa veselības aprūpes pakalpojumu pieejamību reģionālā līmenī ārpus Rīgas. </w:t>
      </w:r>
    </w:p>
    <w:p w14:paraId="385D5E05" w14:textId="5EBEF962" w:rsidR="00C20794" w:rsidRDefault="00C20794" w:rsidP="00C20794">
      <w:pPr>
        <w:spacing w:before="240" w:after="240"/>
        <w:rPr>
          <w:b/>
        </w:rPr>
      </w:pPr>
      <w:r>
        <w:rPr>
          <w:b/>
        </w:rPr>
        <w:t>F</w:t>
      </w:r>
      <w:r w:rsidRPr="005162FA">
        <w:rPr>
          <w:b/>
        </w:rPr>
        <w:t>inanšu mērķi</w:t>
      </w:r>
      <w:r>
        <w:rPr>
          <w:b/>
        </w:rPr>
        <w:t>:</w:t>
      </w:r>
    </w:p>
    <w:p w14:paraId="0B031E9C" w14:textId="56C0E7E1" w:rsidR="007351B9" w:rsidRDefault="007351B9" w:rsidP="00F417E9">
      <w:pPr>
        <w:pStyle w:val="ListParagraph"/>
        <w:ind w:left="927"/>
      </w:pPr>
    </w:p>
    <w:tbl>
      <w:tblPr>
        <w:tblStyle w:val="TableGrid"/>
        <w:tblW w:w="14287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260"/>
        <w:gridCol w:w="2693"/>
        <w:gridCol w:w="2680"/>
        <w:gridCol w:w="2569"/>
      </w:tblGrid>
      <w:tr w:rsidR="00C20794" w:rsidRPr="00C20794" w14:paraId="61637EFC" w14:textId="77777777" w:rsidTr="00C20794">
        <w:trPr>
          <w:trHeight w:val="892"/>
          <w:jc w:val="center"/>
        </w:trPr>
        <w:tc>
          <w:tcPr>
            <w:tcW w:w="675" w:type="dxa"/>
            <w:vAlign w:val="center"/>
          </w:tcPr>
          <w:p w14:paraId="70ECA95D" w14:textId="77777777" w:rsidR="00C20794" w:rsidRPr="00C20794" w:rsidRDefault="00C20794" w:rsidP="00C2079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20794">
              <w:rPr>
                <w:b/>
                <w:sz w:val="20"/>
                <w:szCs w:val="20"/>
              </w:rPr>
              <w:t>N.</w:t>
            </w:r>
            <w:r w:rsidR="00B320C8">
              <w:rPr>
                <w:b/>
                <w:sz w:val="20"/>
                <w:szCs w:val="20"/>
              </w:rPr>
              <w:t> </w:t>
            </w:r>
            <w:r w:rsidRPr="00C20794">
              <w:rPr>
                <w:b/>
                <w:sz w:val="20"/>
                <w:szCs w:val="20"/>
              </w:rPr>
              <w:t>p.k.</w:t>
            </w:r>
          </w:p>
        </w:tc>
        <w:tc>
          <w:tcPr>
            <w:tcW w:w="2410" w:type="dxa"/>
            <w:vAlign w:val="center"/>
          </w:tcPr>
          <w:p w14:paraId="422A3824" w14:textId="77777777" w:rsidR="00C20794" w:rsidRPr="00C20794" w:rsidRDefault="00C20794" w:rsidP="00C2079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20794">
              <w:rPr>
                <w:b/>
                <w:sz w:val="20"/>
                <w:szCs w:val="20"/>
              </w:rPr>
              <w:t>Attīstības virziens</w:t>
            </w:r>
          </w:p>
        </w:tc>
        <w:tc>
          <w:tcPr>
            <w:tcW w:w="3260" w:type="dxa"/>
            <w:vAlign w:val="center"/>
          </w:tcPr>
          <w:p w14:paraId="68B89185" w14:textId="77777777" w:rsidR="00C20794" w:rsidRPr="00C20794" w:rsidRDefault="00C20794" w:rsidP="00C2079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20794">
              <w:rPr>
                <w:b/>
                <w:sz w:val="20"/>
                <w:szCs w:val="20"/>
              </w:rPr>
              <w:t>Veicamie pasākumi</w:t>
            </w:r>
          </w:p>
        </w:tc>
        <w:tc>
          <w:tcPr>
            <w:tcW w:w="2693" w:type="dxa"/>
            <w:vAlign w:val="center"/>
          </w:tcPr>
          <w:p w14:paraId="0BB3905C" w14:textId="77777777" w:rsidR="00C20794" w:rsidRPr="00C20794" w:rsidRDefault="00C20794" w:rsidP="00C2079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20794">
              <w:rPr>
                <w:b/>
                <w:sz w:val="20"/>
                <w:szCs w:val="20"/>
              </w:rPr>
              <w:t>Sasniedzamais rezultāts</w:t>
            </w:r>
          </w:p>
        </w:tc>
        <w:tc>
          <w:tcPr>
            <w:tcW w:w="2680" w:type="dxa"/>
            <w:vAlign w:val="center"/>
          </w:tcPr>
          <w:p w14:paraId="02B5C243" w14:textId="3E1BF399" w:rsidR="00C20794" w:rsidRPr="00C20794" w:rsidRDefault="00C20794" w:rsidP="00C2079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20794">
              <w:rPr>
                <w:b/>
                <w:sz w:val="20"/>
                <w:szCs w:val="20"/>
              </w:rPr>
              <w:t>Rādītāja izpilde 201</w:t>
            </w:r>
            <w:r w:rsidR="00186734">
              <w:rPr>
                <w:b/>
                <w:sz w:val="20"/>
                <w:szCs w:val="20"/>
              </w:rPr>
              <w:t>9</w:t>
            </w:r>
            <w:r w:rsidRPr="00C20794">
              <w:rPr>
                <w:b/>
                <w:sz w:val="20"/>
                <w:szCs w:val="20"/>
              </w:rPr>
              <w:t>.gadā</w:t>
            </w:r>
          </w:p>
        </w:tc>
        <w:tc>
          <w:tcPr>
            <w:tcW w:w="2569" w:type="dxa"/>
            <w:vAlign w:val="center"/>
          </w:tcPr>
          <w:p w14:paraId="11EA3798" w14:textId="77777777" w:rsidR="00C20794" w:rsidRPr="00C20794" w:rsidRDefault="00C20794" w:rsidP="00C2079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20794">
              <w:rPr>
                <w:b/>
                <w:sz w:val="20"/>
                <w:szCs w:val="20"/>
              </w:rPr>
              <w:t>Šķēršļi, kas neļāva veikt izpildi un šo šķēršļu novēršanas iespējas</w:t>
            </w:r>
          </w:p>
        </w:tc>
      </w:tr>
      <w:tr w:rsidR="00C20794" w:rsidRPr="00C20794" w14:paraId="5C314518" w14:textId="77777777" w:rsidTr="00890986">
        <w:trPr>
          <w:jc w:val="center"/>
        </w:trPr>
        <w:tc>
          <w:tcPr>
            <w:tcW w:w="675" w:type="dxa"/>
            <w:vAlign w:val="center"/>
          </w:tcPr>
          <w:p w14:paraId="410B864E" w14:textId="77777777" w:rsidR="00C20794" w:rsidRPr="00C20794" w:rsidRDefault="00C20794" w:rsidP="00890986">
            <w:pPr>
              <w:ind w:firstLine="0"/>
              <w:jc w:val="center"/>
              <w:rPr>
                <w:szCs w:val="24"/>
              </w:rPr>
            </w:pPr>
            <w:r w:rsidRPr="00C20794">
              <w:rPr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14:paraId="722C225E" w14:textId="77777777" w:rsidR="00C20794" w:rsidRPr="00C20794" w:rsidRDefault="00C20794" w:rsidP="00890986">
            <w:pPr>
              <w:ind w:firstLine="0"/>
              <w:jc w:val="center"/>
              <w:rPr>
                <w:szCs w:val="24"/>
              </w:rPr>
            </w:pPr>
            <w:r w:rsidRPr="00C20794">
              <w:rPr>
                <w:szCs w:val="24"/>
              </w:rPr>
              <w:t>Finanšu gadu noslēgt ar peļņu, uzlabot likviditātes un rentabilitātes rādītājus</w:t>
            </w:r>
          </w:p>
        </w:tc>
        <w:tc>
          <w:tcPr>
            <w:tcW w:w="3260" w:type="dxa"/>
            <w:vAlign w:val="center"/>
          </w:tcPr>
          <w:p w14:paraId="222F6DA8" w14:textId="77777777" w:rsidR="00C20794" w:rsidRPr="00C20794" w:rsidRDefault="00C20794" w:rsidP="00890986">
            <w:pPr>
              <w:ind w:firstLine="0"/>
              <w:jc w:val="center"/>
              <w:rPr>
                <w:szCs w:val="24"/>
              </w:rPr>
            </w:pPr>
            <w:r w:rsidRPr="00C20794">
              <w:rPr>
                <w:szCs w:val="24"/>
              </w:rPr>
              <w:t>Izmaksu optimizācija; izpildīt plānotos finanšu rādītājus</w:t>
            </w:r>
          </w:p>
        </w:tc>
        <w:tc>
          <w:tcPr>
            <w:tcW w:w="2693" w:type="dxa"/>
            <w:vAlign w:val="center"/>
          </w:tcPr>
          <w:p w14:paraId="108E831A" w14:textId="77777777" w:rsidR="00C20794" w:rsidRPr="00C20794" w:rsidRDefault="00C20794" w:rsidP="00256B7C">
            <w:pPr>
              <w:ind w:firstLine="0"/>
              <w:rPr>
                <w:szCs w:val="24"/>
              </w:rPr>
            </w:pPr>
            <w:r w:rsidRPr="00C20794">
              <w:rPr>
                <w:szCs w:val="24"/>
              </w:rPr>
              <w:t>Izmaksu pastiprināta kontrole un ierobežošana, kas ļaus gadu noslēgt ar peļņu</w:t>
            </w:r>
          </w:p>
        </w:tc>
        <w:tc>
          <w:tcPr>
            <w:tcW w:w="2680" w:type="dxa"/>
            <w:vAlign w:val="center"/>
          </w:tcPr>
          <w:p w14:paraId="46483158" w14:textId="17B983D5" w:rsidR="00C20794" w:rsidRPr="00C20794" w:rsidRDefault="00C20794" w:rsidP="00256B7C">
            <w:pPr>
              <w:ind w:firstLine="0"/>
              <w:rPr>
                <w:szCs w:val="24"/>
              </w:rPr>
            </w:pPr>
            <w:r w:rsidRPr="00C20794">
              <w:rPr>
                <w:szCs w:val="24"/>
              </w:rPr>
              <w:t>201</w:t>
            </w:r>
            <w:r w:rsidR="00186734">
              <w:rPr>
                <w:szCs w:val="24"/>
              </w:rPr>
              <w:t>9</w:t>
            </w:r>
            <w:r w:rsidRPr="00C20794">
              <w:rPr>
                <w:szCs w:val="24"/>
              </w:rPr>
              <w:t>.finanšu gads noslēgts ar zaudējumiem -</w:t>
            </w:r>
            <w:r w:rsidR="00F417E9">
              <w:rPr>
                <w:szCs w:val="24"/>
              </w:rPr>
              <w:t>121 706</w:t>
            </w:r>
            <w:r>
              <w:rPr>
                <w:szCs w:val="24"/>
              </w:rPr>
              <w:t xml:space="preserve"> </w:t>
            </w:r>
            <w:r w:rsidRPr="00C20794">
              <w:rPr>
                <w:szCs w:val="24"/>
              </w:rPr>
              <w:t>EUR; apgroz</w:t>
            </w:r>
            <w:r>
              <w:rPr>
                <w:szCs w:val="24"/>
              </w:rPr>
              <w:t xml:space="preserve">ījuma </w:t>
            </w:r>
            <w:r w:rsidRPr="00C20794">
              <w:rPr>
                <w:szCs w:val="24"/>
              </w:rPr>
              <w:t xml:space="preserve">pieaugums </w:t>
            </w:r>
            <w:r w:rsidR="00CC13A4">
              <w:rPr>
                <w:szCs w:val="24"/>
              </w:rPr>
              <w:t>pret 2018.gadu</w:t>
            </w:r>
            <w:r w:rsidRPr="00C20794">
              <w:rPr>
                <w:szCs w:val="24"/>
              </w:rPr>
              <w:t>+</w:t>
            </w:r>
            <w:r w:rsidR="00CC13A4">
              <w:rPr>
                <w:szCs w:val="24"/>
              </w:rPr>
              <w:t xml:space="preserve">14,7 </w:t>
            </w:r>
            <w:r w:rsidRPr="00C20794">
              <w:rPr>
                <w:szCs w:val="24"/>
              </w:rPr>
              <w:t>%</w:t>
            </w:r>
            <w:r>
              <w:rPr>
                <w:szCs w:val="24"/>
              </w:rPr>
              <w:t xml:space="preserve"> </w:t>
            </w:r>
            <w:r w:rsidRPr="00C20794">
              <w:rPr>
                <w:szCs w:val="24"/>
              </w:rPr>
              <w:t xml:space="preserve">jeb </w:t>
            </w:r>
            <w:r w:rsidR="00CC13A4">
              <w:rPr>
                <w:szCs w:val="24"/>
              </w:rPr>
              <w:t>1 870 684</w:t>
            </w:r>
            <w:r w:rsidRPr="00C20794">
              <w:rPr>
                <w:szCs w:val="24"/>
              </w:rPr>
              <w:t>EUR</w:t>
            </w:r>
          </w:p>
        </w:tc>
        <w:tc>
          <w:tcPr>
            <w:tcW w:w="2569" w:type="dxa"/>
            <w:vAlign w:val="center"/>
          </w:tcPr>
          <w:p w14:paraId="5A99DFF3" w14:textId="6E55621A" w:rsidR="00C20794" w:rsidRPr="00C20794" w:rsidRDefault="00CC13A4" w:rsidP="00CC13A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2019.gadā ir palielinājušās izmaksas par procentu maksājumiem </w:t>
            </w:r>
            <w:r w:rsidR="00E10665">
              <w:rPr>
                <w:szCs w:val="24"/>
              </w:rPr>
              <w:t>par 169 954 EUR vairāk nekā plānots</w:t>
            </w:r>
          </w:p>
        </w:tc>
      </w:tr>
      <w:tr w:rsidR="00C20794" w:rsidRPr="00C20794" w14:paraId="114607F2" w14:textId="77777777" w:rsidTr="00890986">
        <w:trPr>
          <w:jc w:val="center"/>
        </w:trPr>
        <w:tc>
          <w:tcPr>
            <w:tcW w:w="675" w:type="dxa"/>
            <w:vAlign w:val="center"/>
          </w:tcPr>
          <w:p w14:paraId="69347F0F" w14:textId="77777777" w:rsidR="00C20794" w:rsidRPr="00C20794" w:rsidRDefault="00C20794" w:rsidP="00890986">
            <w:pPr>
              <w:ind w:firstLine="0"/>
              <w:jc w:val="center"/>
              <w:rPr>
                <w:szCs w:val="24"/>
              </w:rPr>
            </w:pPr>
            <w:r w:rsidRPr="00C20794">
              <w:rPr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1DFB5E62" w14:textId="77777777" w:rsidR="00C20794" w:rsidRPr="00C20794" w:rsidRDefault="00C20794" w:rsidP="00890986">
            <w:pPr>
              <w:ind w:firstLine="0"/>
              <w:jc w:val="center"/>
              <w:rPr>
                <w:szCs w:val="24"/>
              </w:rPr>
            </w:pPr>
            <w:r w:rsidRPr="00C20794">
              <w:rPr>
                <w:szCs w:val="24"/>
              </w:rPr>
              <w:t>Debitoru parādu piedziņas darbs</w:t>
            </w:r>
          </w:p>
        </w:tc>
        <w:tc>
          <w:tcPr>
            <w:tcW w:w="3260" w:type="dxa"/>
            <w:vAlign w:val="center"/>
          </w:tcPr>
          <w:p w14:paraId="4F6099B6" w14:textId="77777777" w:rsidR="00C20794" w:rsidRPr="00C20794" w:rsidRDefault="00C20794" w:rsidP="00890986">
            <w:pPr>
              <w:ind w:firstLine="0"/>
              <w:jc w:val="center"/>
              <w:rPr>
                <w:szCs w:val="24"/>
              </w:rPr>
            </w:pPr>
            <w:r w:rsidRPr="00C20794">
              <w:rPr>
                <w:szCs w:val="24"/>
              </w:rPr>
              <w:t>Darbs ar debitoru jau no rēķina izrakstīšanas brīža</w:t>
            </w:r>
          </w:p>
        </w:tc>
        <w:tc>
          <w:tcPr>
            <w:tcW w:w="2693" w:type="dxa"/>
            <w:vAlign w:val="center"/>
          </w:tcPr>
          <w:p w14:paraId="47F5B93A" w14:textId="77777777" w:rsidR="00C20794" w:rsidRPr="00C20794" w:rsidRDefault="00C20794" w:rsidP="00256B7C">
            <w:pPr>
              <w:ind w:firstLine="0"/>
              <w:rPr>
                <w:szCs w:val="24"/>
              </w:rPr>
            </w:pPr>
            <w:r w:rsidRPr="00C20794">
              <w:rPr>
                <w:szCs w:val="24"/>
              </w:rPr>
              <w:t>Ambulatorie pakalpojumi un Uzņemšanas nodaļa nodrošina rēķina izrakstīšanu, izsniegšanu pacientam un 100% apmaksas iekasēšanu</w:t>
            </w:r>
          </w:p>
        </w:tc>
        <w:tc>
          <w:tcPr>
            <w:tcW w:w="2680" w:type="dxa"/>
            <w:vAlign w:val="center"/>
          </w:tcPr>
          <w:p w14:paraId="38CFC54E" w14:textId="3049E62E" w:rsidR="00C20794" w:rsidRPr="00C20794" w:rsidRDefault="00E10665" w:rsidP="0089098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Fizisku personu d</w:t>
            </w:r>
            <w:r w:rsidR="00C20794" w:rsidRPr="00C20794">
              <w:rPr>
                <w:szCs w:val="24"/>
              </w:rPr>
              <w:t>ebitoru parādu samazinājums -</w:t>
            </w:r>
            <w:r>
              <w:rPr>
                <w:szCs w:val="24"/>
              </w:rPr>
              <w:t>61,9</w:t>
            </w:r>
            <w:r w:rsidR="00C20794">
              <w:rPr>
                <w:szCs w:val="24"/>
              </w:rPr>
              <w:t xml:space="preserve"> </w:t>
            </w:r>
            <w:r w:rsidR="00C20794" w:rsidRPr="00C20794">
              <w:rPr>
                <w:szCs w:val="24"/>
              </w:rPr>
              <w:t>% jeb -</w:t>
            </w:r>
            <w:r>
              <w:rPr>
                <w:szCs w:val="24"/>
              </w:rPr>
              <w:t>18 392</w:t>
            </w:r>
            <w:r w:rsidR="00C20794">
              <w:rPr>
                <w:szCs w:val="24"/>
              </w:rPr>
              <w:t xml:space="preserve"> </w:t>
            </w:r>
            <w:r w:rsidR="00C20794" w:rsidRPr="00C20794">
              <w:rPr>
                <w:szCs w:val="24"/>
              </w:rPr>
              <w:t>EUR</w:t>
            </w:r>
            <w:r>
              <w:rPr>
                <w:szCs w:val="24"/>
              </w:rPr>
              <w:t xml:space="preserve"> pret 2018.gadu</w:t>
            </w:r>
          </w:p>
        </w:tc>
        <w:tc>
          <w:tcPr>
            <w:tcW w:w="2569" w:type="dxa"/>
            <w:vAlign w:val="center"/>
          </w:tcPr>
          <w:p w14:paraId="15D11602" w14:textId="77777777" w:rsidR="00C20794" w:rsidRPr="00C20794" w:rsidRDefault="00C20794" w:rsidP="00256B7C">
            <w:pPr>
              <w:ind w:firstLine="0"/>
              <w:rPr>
                <w:szCs w:val="24"/>
              </w:rPr>
            </w:pPr>
            <w:r w:rsidRPr="00C20794">
              <w:rPr>
                <w:szCs w:val="24"/>
              </w:rPr>
              <w:t>Pacientu akūtais stāvoklis; līdzekļu neesamība uzņemšanas brīdī vai to trūkums; nepietiekama informēšana no darbinieku puses</w:t>
            </w:r>
          </w:p>
        </w:tc>
      </w:tr>
    </w:tbl>
    <w:p w14:paraId="7D9492E5" w14:textId="5E87F183" w:rsidR="006A1F24" w:rsidRPr="00256B7C" w:rsidRDefault="00256B7C" w:rsidP="00E10665">
      <w:pPr>
        <w:rPr>
          <w:b/>
          <w:bCs/>
        </w:rPr>
      </w:pPr>
      <w:proofErr w:type="spellStart"/>
      <w:r w:rsidRPr="00256B7C">
        <w:rPr>
          <w:b/>
          <w:bCs/>
        </w:rPr>
        <w:t>Nefinanšu</w:t>
      </w:r>
      <w:proofErr w:type="spellEnd"/>
      <w:r w:rsidRPr="00256B7C">
        <w:rPr>
          <w:b/>
          <w:bCs/>
        </w:rPr>
        <w:t xml:space="preserve"> mērķi</w:t>
      </w:r>
      <w:r>
        <w:rPr>
          <w:b/>
          <w:bCs/>
        </w:rPr>
        <w:t>:</w:t>
      </w:r>
    </w:p>
    <w:tbl>
      <w:tblPr>
        <w:tblStyle w:val="TableGrid"/>
        <w:tblW w:w="14584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553"/>
        <w:gridCol w:w="3401"/>
        <w:gridCol w:w="2551"/>
        <w:gridCol w:w="2835"/>
        <w:gridCol w:w="2569"/>
      </w:tblGrid>
      <w:tr w:rsidR="0001088F" w:rsidRPr="00890986" w14:paraId="2BA68392" w14:textId="77777777" w:rsidTr="00890986">
        <w:trPr>
          <w:trHeight w:val="861"/>
          <w:tblHeader/>
          <w:jc w:val="center"/>
        </w:trPr>
        <w:tc>
          <w:tcPr>
            <w:tcW w:w="675" w:type="dxa"/>
            <w:vAlign w:val="center"/>
          </w:tcPr>
          <w:p w14:paraId="47D444EA" w14:textId="77777777" w:rsidR="001A0F3B" w:rsidRPr="00890986" w:rsidRDefault="001A0F3B" w:rsidP="00236937">
            <w:pPr>
              <w:ind w:firstLine="0"/>
              <w:jc w:val="center"/>
              <w:rPr>
                <w:b/>
                <w:sz w:val="20"/>
                <w:szCs w:val="20"/>
              </w:rPr>
            </w:pPr>
            <w:bookmarkStart w:id="0" w:name="OLE_LINK8"/>
            <w:bookmarkStart w:id="1" w:name="OLE_LINK9"/>
            <w:bookmarkStart w:id="2" w:name="_Hlk454963067"/>
            <w:proofErr w:type="spellStart"/>
            <w:r w:rsidRPr="00890986">
              <w:rPr>
                <w:b/>
                <w:sz w:val="20"/>
                <w:szCs w:val="20"/>
              </w:rPr>
              <w:lastRenderedPageBreak/>
              <w:t>N.p.k</w:t>
            </w:r>
            <w:proofErr w:type="spellEnd"/>
            <w:r w:rsidRPr="0089098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3" w:type="dxa"/>
            <w:vAlign w:val="center"/>
          </w:tcPr>
          <w:p w14:paraId="3564AA3D" w14:textId="77777777" w:rsidR="001A0F3B" w:rsidRPr="00890986" w:rsidRDefault="001A0F3B" w:rsidP="0023693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90986">
              <w:rPr>
                <w:b/>
                <w:sz w:val="20"/>
                <w:szCs w:val="20"/>
              </w:rPr>
              <w:t>Attīstības virziens</w:t>
            </w:r>
          </w:p>
        </w:tc>
        <w:tc>
          <w:tcPr>
            <w:tcW w:w="3401" w:type="dxa"/>
            <w:vAlign w:val="center"/>
          </w:tcPr>
          <w:p w14:paraId="71E3A8D8" w14:textId="77777777" w:rsidR="001A0F3B" w:rsidRPr="00890986" w:rsidRDefault="001A0F3B" w:rsidP="0023693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90986">
              <w:rPr>
                <w:b/>
                <w:sz w:val="20"/>
                <w:szCs w:val="20"/>
              </w:rPr>
              <w:t>Veicamie pasākumi</w:t>
            </w:r>
          </w:p>
        </w:tc>
        <w:tc>
          <w:tcPr>
            <w:tcW w:w="2551" w:type="dxa"/>
            <w:vAlign w:val="center"/>
          </w:tcPr>
          <w:p w14:paraId="45D159A2" w14:textId="77777777" w:rsidR="001A0F3B" w:rsidRPr="00890986" w:rsidRDefault="001A0F3B" w:rsidP="0023693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90986">
              <w:rPr>
                <w:b/>
                <w:sz w:val="20"/>
                <w:szCs w:val="20"/>
              </w:rPr>
              <w:t>Sasniedzamais rezultāts</w:t>
            </w:r>
          </w:p>
        </w:tc>
        <w:tc>
          <w:tcPr>
            <w:tcW w:w="2835" w:type="dxa"/>
            <w:vAlign w:val="center"/>
          </w:tcPr>
          <w:p w14:paraId="0B687CBD" w14:textId="77777777" w:rsidR="001A0F3B" w:rsidRPr="00890986" w:rsidRDefault="001A0F3B" w:rsidP="0023693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90986">
              <w:rPr>
                <w:b/>
                <w:sz w:val="20"/>
                <w:szCs w:val="20"/>
              </w:rPr>
              <w:t>Rādītāja izpilde 2015.gadā</w:t>
            </w:r>
          </w:p>
        </w:tc>
        <w:tc>
          <w:tcPr>
            <w:tcW w:w="2569" w:type="dxa"/>
            <w:vAlign w:val="center"/>
          </w:tcPr>
          <w:p w14:paraId="42860CD1" w14:textId="77777777" w:rsidR="001A0F3B" w:rsidRPr="00890986" w:rsidRDefault="001A0F3B" w:rsidP="0023693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90986">
              <w:rPr>
                <w:b/>
                <w:sz w:val="20"/>
                <w:szCs w:val="20"/>
              </w:rPr>
              <w:t>Šķēršļi, kas neļāva veikt izpildi un šo šķēršļu novēršanas iespējas</w:t>
            </w:r>
          </w:p>
        </w:tc>
      </w:tr>
      <w:bookmarkEnd w:id="0"/>
      <w:bookmarkEnd w:id="1"/>
      <w:tr w:rsidR="0001088F" w14:paraId="2D10F8CB" w14:textId="77777777" w:rsidTr="00890986">
        <w:trPr>
          <w:tblHeader/>
          <w:jc w:val="center"/>
        </w:trPr>
        <w:tc>
          <w:tcPr>
            <w:tcW w:w="675" w:type="dxa"/>
            <w:vAlign w:val="center"/>
          </w:tcPr>
          <w:p w14:paraId="2E12431E" w14:textId="77777777" w:rsidR="001A0F3B" w:rsidRDefault="001A0F3B" w:rsidP="00890986">
            <w:pPr>
              <w:ind w:firstLine="0"/>
              <w:jc w:val="center"/>
            </w:pPr>
            <w:r>
              <w:t>1.</w:t>
            </w:r>
          </w:p>
        </w:tc>
        <w:tc>
          <w:tcPr>
            <w:tcW w:w="2553" w:type="dxa"/>
            <w:vAlign w:val="center"/>
          </w:tcPr>
          <w:p w14:paraId="0DA5AFE4" w14:textId="77777777" w:rsidR="001A0F3B" w:rsidRPr="0023160A" w:rsidRDefault="001A0F3B" w:rsidP="00256B7C">
            <w:pPr>
              <w:ind w:firstLine="0"/>
              <w:rPr>
                <w:b/>
              </w:rPr>
            </w:pPr>
            <w:r w:rsidRPr="0023160A">
              <w:rPr>
                <w:b/>
              </w:rPr>
              <w:t>Ambulatorās veselības aprūpes darbības uzlabošana</w:t>
            </w:r>
          </w:p>
        </w:tc>
        <w:tc>
          <w:tcPr>
            <w:tcW w:w="3401" w:type="dxa"/>
            <w:vAlign w:val="center"/>
          </w:tcPr>
          <w:p w14:paraId="28597713" w14:textId="77777777" w:rsidR="001A0F3B" w:rsidRDefault="001A0F3B" w:rsidP="00256B7C">
            <w:pPr>
              <w:ind w:firstLine="0"/>
            </w:pPr>
            <w:r>
              <w:t>Pēc iespējas censties nodrošināt stacionārās palīdzības aizvietošanu ar ambulatorajiem pakalpojumiem</w:t>
            </w:r>
          </w:p>
        </w:tc>
        <w:tc>
          <w:tcPr>
            <w:tcW w:w="2551" w:type="dxa"/>
            <w:vAlign w:val="center"/>
          </w:tcPr>
          <w:p w14:paraId="0B39E50E" w14:textId="77777777" w:rsidR="001A0F3B" w:rsidRDefault="00836B7F" w:rsidP="00256B7C">
            <w:pPr>
              <w:ind w:firstLine="0"/>
            </w:pPr>
            <w:r>
              <w:t>Stacionārā pacientu skaita samazinājums un ambulatorā pacientu skaita pieaugums</w:t>
            </w:r>
          </w:p>
        </w:tc>
        <w:tc>
          <w:tcPr>
            <w:tcW w:w="2835" w:type="dxa"/>
            <w:vAlign w:val="center"/>
          </w:tcPr>
          <w:p w14:paraId="2D56DCE2" w14:textId="77777777" w:rsidR="001A0F3B" w:rsidRDefault="00836B7F" w:rsidP="00256B7C">
            <w:pPr>
              <w:ind w:firstLine="0"/>
            </w:pPr>
            <w:r>
              <w:t>Skat</w:t>
            </w:r>
            <w:r w:rsidR="004F115A">
              <w:t>. 1.</w:t>
            </w:r>
            <w:r w:rsidR="00437B2B">
              <w:t> </w:t>
            </w:r>
            <w:r w:rsidR="004F115A">
              <w:t>pielikum</w:t>
            </w:r>
            <w:r w:rsidR="00437B2B">
              <w:t>a 1. attēlu</w:t>
            </w:r>
            <w:r w:rsidR="004B12B1">
              <w:t xml:space="preserve"> un 3.pielikuma 1.attēlu</w:t>
            </w:r>
          </w:p>
          <w:p w14:paraId="4714F2B2" w14:textId="786491F4" w:rsidR="00B444DA" w:rsidRDefault="00B444DA" w:rsidP="00256B7C">
            <w:pPr>
              <w:ind w:firstLine="0"/>
            </w:pPr>
            <w:r>
              <w:t>2015-2019.gada periodā samazinājies stacionāro pakalpojumu skaits, savukārt, pieaudzis dienas stacionāra un īslaicīgās ķirurģijas pacientu skaits</w:t>
            </w:r>
          </w:p>
        </w:tc>
        <w:tc>
          <w:tcPr>
            <w:tcW w:w="2569" w:type="dxa"/>
            <w:vAlign w:val="center"/>
          </w:tcPr>
          <w:p w14:paraId="09AF81BD" w14:textId="77777777" w:rsidR="001A0F3B" w:rsidRDefault="001A0F3B" w:rsidP="00256B7C">
            <w:pPr>
              <w:ind w:firstLine="0"/>
            </w:pPr>
          </w:p>
        </w:tc>
      </w:tr>
      <w:tr w:rsidR="0001088F" w14:paraId="156E3572" w14:textId="77777777" w:rsidTr="00890986">
        <w:trPr>
          <w:tblHeader/>
          <w:jc w:val="center"/>
        </w:trPr>
        <w:tc>
          <w:tcPr>
            <w:tcW w:w="675" w:type="dxa"/>
            <w:vAlign w:val="center"/>
          </w:tcPr>
          <w:p w14:paraId="7F254202" w14:textId="77777777" w:rsidR="001A0F3B" w:rsidRDefault="001A0F3B" w:rsidP="00890986">
            <w:pPr>
              <w:ind w:firstLine="0"/>
              <w:jc w:val="center"/>
            </w:pPr>
          </w:p>
        </w:tc>
        <w:tc>
          <w:tcPr>
            <w:tcW w:w="2553" w:type="dxa"/>
            <w:vAlign w:val="center"/>
          </w:tcPr>
          <w:p w14:paraId="536244C1" w14:textId="77777777" w:rsidR="001A0F3B" w:rsidRDefault="001A0F3B" w:rsidP="00256B7C">
            <w:pPr>
              <w:ind w:firstLine="0"/>
            </w:pPr>
          </w:p>
        </w:tc>
        <w:tc>
          <w:tcPr>
            <w:tcW w:w="3401" w:type="dxa"/>
            <w:vAlign w:val="center"/>
          </w:tcPr>
          <w:p w14:paraId="7BF48E08" w14:textId="77777777" w:rsidR="001A0F3B" w:rsidRDefault="001A0F3B" w:rsidP="00256B7C">
            <w:pPr>
              <w:ind w:firstLine="0"/>
            </w:pPr>
            <w:r>
              <w:t>Nodrošināt pakalpojumu labāku pieejamību</w:t>
            </w:r>
          </w:p>
        </w:tc>
        <w:tc>
          <w:tcPr>
            <w:tcW w:w="2551" w:type="dxa"/>
            <w:vAlign w:val="center"/>
          </w:tcPr>
          <w:p w14:paraId="6FF9B4A7" w14:textId="77777777" w:rsidR="001A0F3B" w:rsidRDefault="00D8623A" w:rsidP="00256B7C">
            <w:pPr>
              <w:ind w:firstLine="0"/>
            </w:pPr>
            <w:r>
              <w:t xml:space="preserve">Ārstu skaita un </w:t>
            </w:r>
            <w:r w:rsidR="003B4F0B">
              <w:t>ambulatori pieejamo pakalpojumu profilu skait</w:t>
            </w:r>
            <w:r>
              <w:t>a saglabāšana</w:t>
            </w:r>
            <w:r w:rsidR="00836B7F">
              <w:t>, palielināšana</w:t>
            </w:r>
          </w:p>
        </w:tc>
        <w:tc>
          <w:tcPr>
            <w:tcW w:w="2835" w:type="dxa"/>
            <w:vAlign w:val="center"/>
          </w:tcPr>
          <w:p w14:paraId="59944C4C" w14:textId="77777777" w:rsidR="001A0F3B" w:rsidRDefault="004F115A" w:rsidP="00256B7C">
            <w:pPr>
              <w:ind w:firstLine="0"/>
            </w:pPr>
            <w:r>
              <w:t xml:space="preserve">Skat. </w:t>
            </w:r>
            <w:r w:rsidR="00437B2B">
              <w:t>4</w:t>
            </w:r>
            <w:r>
              <w:t>.</w:t>
            </w:r>
            <w:r w:rsidR="00437B2B">
              <w:t xml:space="preserve"> </w:t>
            </w:r>
            <w:r>
              <w:t>pielikumu</w:t>
            </w:r>
          </w:p>
        </w:tc>
        <w:tc>
          <w:tcPr>
            <w:tcW w:w="2569" w:type="dxa"/>
            <w:vAlign w:val="center"/>
          </w:tcPr>
          <w:p w14:paraId="293FF386" w14:textId="77777777" w:rsidR="001A0F3B" w:rsidRDefault="001A0F3B" w:rsidP="00256B7C">
            <w:pPr>
              <w:ind w:firstLine="0"/>
            </w:pPr>
          </w:p>
        </w:tc>
      </w:tr>
      <w:tr w:rsidR="0001088F" w14:paraId="62EEEF64" w14:textId="77777777" w:rsidTr="00890986">
        <w:trPr>
          <w:tblHeader/>
          <w:jc w:val="center"/>
        </w:trPr>
        <w:tc>
          <w:tcPr>
            <w:tcW w:w="675" w:type="dxa"/>
            <w:vAlign w:val="center"/>
          </w:tcPr>
          <w:p w14:paraId="4005211E" w14:textId="77777777" w:rsidR="001A0F3B" w:rsidRDefault="001A0F3B" w:rsidP="00890986">
            <w:pPr>
              <w:ind w:firstLine="0"/>
              <w:jc w:val="center"/>
            </w:pPr>
          </w:p>
        </w:tc>
        <w:tc>
          <w:tcPr>
            <w:tcW w:w="2553" w:type="dxa"/>
            <w:vAlign w:val="center"/>
          </w:tcPr>
          <w:p w14:paraId="1FD45969" w14:textId="77777777" w:rsidR="001A0F3B" w:rsidRDefault="001A0F3B" w:rsidP="00256B7C">
            <w:pPr>
              <w:ind w:firstLine="0"/>
            </w:pPr>
          </w:p>
        </w:tc>
        <w:tc>
          <w:tcPr>
            <w:tcW w:w="3401" w:type="dxa"/>
            <w:vAlign w:val="center"/>
          </w:tcPr>
          <w:p w14:paraId="3076DEFF" w14:textId="77777777" w:rsidR="001A0F3B" w:rsidRDefault="001A0F3B" w:rsidP="00256B7C">
            <w:pPr>
              <w:ind w:firstLine="0"/>
            </w:pPr>
            <w:r>
              <w:t>Samazināt rindas uz ambulatorajiem</w:t>
            </w:r>
            <w:r w:rsidR="00836B7F">
              <w:t xml:space="preserve"> pakalpojumiem</w:t>
            </w:r>
          </w:p>
        </w:tc>
        <w:tc>
          <w:tcPr>
            <w:tcW w:w="2551" w:type="dxa"/>
            <w:vAlign w:val="center"/>
          </w:tcPr>
          <w:p w14:paraId="5B55ABE9" w14:textId="77777777" w:rsidR="001A0F3B" w:rsidRDefault="001A0F3B" w:rsidP="00256B7C">
            <w:pPr>
              <w:ind w:firstLine="0"/>
            </w:pPr>
          </w:p>
        </w:tc>
        <w:tc>
          <w:tcPr>
            <w:tcW w:w="2835" w:type="dxa"/>
            <w:vAlign w:val="center"/>
          </w:tcPr>
          <w:p w14:paraId="00B0EA3B" w14:textId="4848761F" w:rsidR="001A0F3B" w:rsidRDefault="00D85891" w:rsidP="00D85891">
            <w:pPr>
              <w:ind w:firstLine="0"/>
            </w:pPr>
            <w:r>
              <w:t>Daļēji izpildīts – dažiem pakalpojumiem pakalpojuma gaidīšanas laiks ir samazinājies, dažiem ir palielinājies. Skat.4</w:t>
            </w:r>
            <w:r w:rsidR="004F115A">
              <w:t>.</w:t>
            </w:r>
            <w:r w:rsidR="00437B2B">
              <w:t> </w:t>
            </w:r>
            <w:r w:rsidR="004F115A">
              <w:t>pielikumu</w:t>
            </w:r>
          </w:p>
        </w:tc>
        <w:tc>
          <w:tcPr>
            <w:tcW w:w="2569" w:type="dxa"/>
            <w:vAlign w:val="center"/>
          </w:tcPr>
          <w:p w14:paraId="1E169215" w14:textId="42FA7F36" w:rsidR="001A0F3B" w:rsidRDefault="004F115A" w:rsidP="00256B7C">
            <w:pPr>
              <w:ind w:firstLine="0"/>
            </w:pPr>
            <w:r>
              <w:t xml:space="preserve">Rindu garums ir tieši atkarīgs no līguma izpildei piešķirtā finansējuma (kvotām) </w:t>
            </w:r>
            <w:r w:rsidR="003F711B">
              <w:t>(</w:t>
            </w:r>
            <w:r>
              <w:t>slimnīcai nav iespējams to novērst</w:t>
            </w:r>
            <w:r w:rsidR="003F711B">
              <w:t>)</w:t>
            </w:r>
            <w:r w:rsidR="00D85891">
              <w:t xml:space="preserve">, kā arī </w:t>
            </w:r>
            <w:r w:rsidR="00D85891">
              <w:rPr>
                <w:rFonts w:cs="Times New Roman"/>
                <w:color w:val="000000"/>
                <w:szCs w:val="24"/>
              </w:rPr>
              <w:t xml:space="preserve">atsevišķu pakalpojumu pieprasījuma pieaugumu vai </w:t>
            </w:r>
            <w:r w:rsidR="00D85891" w:rsidRPr="00AB7B96">
              <w:rPr>
                <w:rFonts w:eastAsia="Times New Roman" w:cs="Times New Roman"/>
                <w:color w:val="000000"/>
                <w:szCs w:val="24"/>
                <w:lang w:eastAsia="lv-LV"/>
              </w:rPr>
              <w:t>diagnosticēšanas metožu maiņas tendenci</w:t>
            </w:r>
            <w:r w:rsidR="00D85891">
              <w:rPr>
                <w:rFonts w:eastAsia="Times New Roman" w:cs="Times New Roman"/>
                <w:color w:val="000000"/>
                <w:szCs w:val="24"/>
                <w:lang w:eastAsia="lv-LV"/>
              </w:rPr>
              <w:t>.</w:t>
            </w:r>
          </w:p>
        </w:tc>
      </w:tr>
      <w:tr w:rsidR="0001088F" w14:paraId="6CAAE559" w14:textId="77777777" w:rsidTr="00890986">
        <w:trPr>
          <w:tblHeader/>
          <w:jc w:val="center"/>
        </w:trPr>
        <w:tc>
          <w:tcPr>
            <w:tcW w:w="675" w:type="dxa"/>
            <w:vAlign w:val="center"/>
          </w:tcPr>
          <w:p w14:paraId="0362CAC7" w14:textId="77777777" w:rsidR="001A0F3B" w:rsidRDefault="001A0F3B" w:rsidP="00890986">
            <w:pPr>
              <w:ind w:firstLine="0"/>
              <w:jc w:val="center"/>
            </w:pPr>
          </w:p>
        </w:tc>
        <w:tc>
          <w:tcPr>
            <w:tcW w:w="2553" w:type="dxa"/>
            <w:vAlign w:val="center"/>
          </w:tcPr>
          <w:p w14:paraId="0009DE42" w14:textId="77777777" w:rsidR="001A0F3B" w:rsidRDefault="001A0F3B" w:rsidP="00256B7C">
            <w:pPr>
              <w:ind w:firstLine="0"/>
            </w:pPr>
          </w:p>
        </w:tc>
        <w:tc>
          <w:tcPr>
            <w:tcW w:w="3401" w:type="dxa"/>
            <w:vAlign w:val="center"/>
          </w:tcPr>
          <w:p w14:paraId="15A032AA" w14:textId="77777777" w:rsidR="001A0F3B" w:rsidRDefault="001A0F3B" w:rsidP="00256B7C">
            <w:pPr>
              <w:ind w:firstLine="0"/>
            </w:pPr>
            <w:r>
              <w:t>Paplašināt piedāvāto pakalpojumu klāstu</w:t>
            </w:r>
          </w:p>
        </w:tc>
        <w:tc>
          <w:tcPr>
            <w:tcW w:w="2551" w:type="dxa"/>
            <w:vAlign w:val="center"/>
          </w:tcPr>
          <w:p w14:paraId="3DC46F70" w14:textId="77777777" w:rsidR="001A0F3B" w:rsidRDefault="00A07B26" w:rsidP="00256B7C">
            <w:pPr>
              <w:ind w:firstLine="0"/>
            </w:pPr>
            <w:r>
              <w:t>Onkologa pakalpojumi</w:t>
            </w:r>
          </w:p>
        </w:tc>
        <w:tc>
          <w:tcPr>
            <w:tcW w:w="2835" w:type="dxa"/>
            <w:vAlign w:val="center"/>
          </w:tcPr>
          <w:p w14:paraId="33F3EE5A" w14:textId="77777777" w:rsidR="001A0F3B" w:rsidRDefault="00394A3A" w:rsidP="00256B7C">
            <w:pPr>
              <w:ind w:firstLine="0"/>
            </w:pPr>
            <w:r>
              <w:t>Pieņemts onkologs-</w:t>
            </w:r>
            <w:proofErr w:type="spellStart"/>
            <w:r>
              <w:t>ķīmijterapeits</w:t>
            </w:r>
            <w:proofErr w:type="spellEnd"/>
            <w:r>
              <w:t xml:space="preserve"> (finansē slimnīca no saviem līdzekļiem).</w:t>
            </w:r>
          </w:p>
          <w:p w14:paraId="300BD215" w14:textId="49573E50" w:rsidR="00A07B26" w:rsidRDefault="00A07B26" w:rsidP="00256B7C">
            <w:pPr>
              <w:ind w:firstLine="0"/>
            </w:pPr>
            <w:r>
              <w:t>pa</w:t>
            </w:r>
            <w:r w:rsidR="00B444DA">
              <w:t>plašināti</w:t>
            </w:r>
            <w:r>
              <w:t xml:space="preserve"> traumatoloģisko operāciju veidi dienas stacionārā</w:t>
            </w:r>
            <w:r w:rsidR="00B444DA">
              <w:t xml:space="preserve"> nodrošinot </w:t>
            </w:r>
            <w:proofErr w:type="spellStart"/>
            <w:r w:rsidR="00B444DA">
              <w:t>artroskopiskās</w:t>
            </w:r>
            <w:proofErr w:type="spellEnd"/>
            <w:r w:rsidR="00B444DA">
              <w:t xml:space="preserve"> pleca un ceļa operācijas</w:t>
            </w:r>
          </w:p>
        </w:tc>
        <w:tc>
          <w:tcPr>
            <w:tcW w:w="2569" w:type="dxa"/>
            <w:vAlign w:val="center"/>
          </w:tcPr>
          <w:p w14:paraId="50872BDF" w14:textId="77777777" w:rsidR="001A0F3B" w:rsidRDefault="001A0F3B" w:rsidP="00256B7C">
            <w:pPr>
              <w:ind w:firstLine="0"/>
            </w:pPr>
          </w:p>
        </w:tc>
      </w:tr>
      <w:tr w:rsidR="0001088F" w14:paraId="1E113D4F" w14:textId="77777777" w:rsidTr="00890986">
        <w:trPr>
          <w:tblHeader/>
          <w:jc w:val="center"/>
        </w:trPr>
        <w:tc>
          <w:tcPr>
            <w:tcW w:w="675" w:type="dxa"/>
            <w:vAlign w:val="center"/>
          </w:tcPr>
          <w:p w14:paraId="385FB7B3" w14:textId="77777777" w:rsidR="001A0F3B" w:rsidRDefault="001A0F3B" w:rsidP="00890986">
            <w:pPr>
              <w:ind w:firstLine="0"/>
              <w:jc w:val="center"/>
            </w:pPr>
          </w:p>
        </w:tc>
        <w:tc>
          <w:tcPr>
            <w:tcW w:w="2553" w:type="dxa"/>
            <w:vAlign w:val="center"/>
          </w:tcPr>
          <w:p w14:paraId="4B1719A1" w14:textId="77777777" w:rsidR="001A0F3B" w:rsidRDefault="001A0F3B" w:rsidP="00890986">
            <w:pPr>
              <w:ind w:firstLine="0"/>
              <w:jc w:val="center"/>
            </w:pPr>
          </w:p>
        </w:tc>
        <w:tc>
          <w:tcPr>
            <w:tcW w:w="3401" w:type="dxa"/>
            <w:vAlign w:val="center"/>
          </w:tcPr>
          <w:p w14:paraId="503F19E4" w14:textId="77777777" w:rsidR="001A0F3B" w:rsidRDefault="004B7719" w:rsidP="00256B7C">
            <w:pPr>
              <w:ind w:firstLine="0"/>
            </w:pPr>
            <w:r>
              <w:t>Turpināt attīstīt medicīniskās mājas aprūpes pakalpojumus</w:t>
            </w:r>
          </w:p>
        </w:tc>
        <w:tc>
          <w:tcPr>
            <w:tcW w:w="2551" w:type="dxa"/>
            <w:vAlign w:val="center"/>
          </w:tcPr>
          <w:p w14:paraId="1FD128F4" w14:textId="77777777" w:rsidR="001A0F3B" w:rsidRDefault="00A07B26" w:rsidP="00256B7C">
            <w:pPr>
              <w:ind w:firstLine="0"/>
            </w:pPr>
            <w:r>
              <w:t>Palielināt pakalpojuma sniedzēju skaitu</w:t>
            </w:r>
          </w:p>
        </w:tc>
        <w:tc>
          <w:tcPr>
            <w:tcW w:w="2835" w:type="dxa"/>
            <w:vAlign w:val="center"/>
          </w:tcPr>
          <w:p w14:paraId="361CEC69" w14:textId="77777777" w:rsidR="001A0F3B" w:rsidRDefault="00A07B26" w:rsidP="00256B7C">
            <w:pPr>
              <w:ind w:firstLine="0"/>
            </w:pPr>
            <w:r>
              <w:t>Pieņemts fizioterapeits, pakalpojumu sniedz 2 speciālisti</w:t>
            </w:r>
          </w:p>
        </w:tc>
        <w:tc>
          <w:tcPr>
            <w:tcW w:w="2569" w:type="dxa"/>
            <w:vAlign w:val="center"/>
          </w:tcPr>
          <w:p w14:paraId="0EA654D6" w14:textId="77777777" w:rsidR="001A0F3B" w:rsidRDefault="001A0F3B" w:rsidP="00256B7C">
            <w:pPr>
              <w:ind w:firstLine="0"/>
            </w:pPr>
          </w:p>
        </w:tc>
      </w:tr>
      <w:tr w:rsidR="0001088F" w14:paraId="1F83606E" w14:textId="77777777" w:rsidTr="00890986">
        <w:trPr>
          <w:tblHeader/>
          <w:jc w:val="center"/>
        </w:trPr>
        <w:tc>
          <w:tcPr>
            <w:tcW w:w="675" w:type="dxa"/>
            <w:vAlign w:val="center"/>
          </w:tcPr>
          <w:p w14:paraId="1669AF95" w14:textId="77777777" w:rsidR="001A0F3B" w:rsidRDefault="001A0F3B" w:rsidP="00890986">
            <w:pPr>
              <w:ind w:firstLine="0"/>
              <w:jc w:val="center"/>
            </w:pPr>
          </w:p>
        </w:tc>
        <w:tc>
          <w:tcPr>
            <w:tcW w:w="2553" w:type="dxa"/>
            <w:vAlign w:val="center"/>
          </w:tcPr>
          <w:p w14:paraId="6F819D39" w14:textId="77777777" w:rsidR="001A0F3B" w:rsidRDefault="001A0F3B" w:rsidP="00890986">
            <w:pPr>
              <w:ind w:firstLine="0"/>
              <w:jc w:val="center"/>
            </w:pPr>
          </w:p>
        </w:tc>
        <w:tc>
          <w:tcPr>
            <w:tcW w:w="3401" w:type="dxa"/>
            <w:vAlign w:val="center"/>
          </w:tcPr>
          <w:p w14:paraId="5A799974" w14:textId="77777777" w:rsidR="001A0F3B" w:rsidRDefault="004B7719" w:rsidP="00256B7C">
            <w:pPr>
              <w:ind w:firstLine="0"/>
            </w:pPr>
            <w:r>
              <w:t>Attīstīt rehabilitācijas pakalpojumus, piedāvājot kompleksas rehabilitācijas programmas</w:t>
            </w:r>
          </w:p>
        </w:tc>
        <w:tc>
          <w:tcPr>
            <w:tcW w:w="2551" w:type="dxa"/>
            <w:vAlign w:val="center"/>
          </w:tcPr>
          <w:p w14:paraId="0600D9D3" w14:textId="77777777" w:rsidR="001A0F3B" w:rsidRDefault="0001088F" w:rsidP="00256B7C">
            <w:pPr>
              <w:ind w:firstLine="0"/>
            </w:pPr>
            <w:r>
              <w:t>Veikt jauna rehabilitācijas kabineta, telpas izveidi</w:t>
            </w:r>
          </w:p>
        </w:tc>
        <w:tc>
          <w:tcPr>
            <w:tcW w:w="2835" w:type="dxa"/>
            <w:vAlign w:val="center"/>
          </w:tcPr>
          <w:p w14:paraId="69B12F98" w14:textId="7EA8F0E9" w:rsidR="001A0F3B" w:rsidRDefault="00B444DA" w:rsidP="00256B7C">
            <w:pPr>
              <w:ind w:firstLine="0"/>
            </w:pPr>
            <w:r>
              <w:t>Apstiprināts Ambulatorās daļas</w:t>
            </w:r>
            <w:r w:rsidR="0001088F">
              <w:t xml:space="preserve"> </w:t>
            </w:r>
            <w:r>
              <w:t xml:space="preserve">projekts ar 4.stāva kreisā spārna rekonstrukciju, kurā izveidota Rehabilitācijas nodaļa. Projekta pabeigšana paredzēta līdz 2022.gadam. </w:t>
            </w:r>
          </w:p>
        </w:tc>
        <w:tc>
          <w:tcPr>
            <w:tcW w:w="2569" w:type="dxa"/>
            <w:vAlign w:val="center"/>
          </w:tcPr>
          <w:p w14:paraId="4D7BC00C" w14:textId="77777777" w:rsidR="001A0F3B" w:rsidRDefault="001A0F3B" w:rsidP="00256B7C">
            <w:pPr>
              <w:ind w:firstLine="0"/>
            </w:pPr>
          </w:p>
        </w:tc>
      </w:tr>
      <w:tr w:rsidR="0001088F" w14:paraId="2D0A4983" w14:textId="77777777" w:rsidTr="00890986">
        <w:trPr>
          <w:tblHeader/>
          <w:jc w:val="center"/>
        </w:trPr>
        <w:tc>
          <w:tcPr>
            <w:tcW w:w="675" w:type="dxa"/>
            <w:vAlign w:val="center"/>
          </w:tcPr>
          <w:p w14:paraId="0E172E29" w14:textId="77777777" w:rsidR="001A0F3B" w:rsidRDefault="001A0F3B" w:rsidP="00890986">
            <w:pPr>
              <w:ind w:firstLine="0"/>
              <w:jc w:val="center"/>
            </w:pPr>
          </w:p>
        </w:tc>
        <w:tc>
          <w:tcPr>
            <w:tcW w:w="2553" w:type="dxa"/>
            <w:vAlign w:val="center"/>
          </w:tcPr>
          <w:p w14:paraId="2A529856" w14:textId="77777777" w:rsidR="001A0F3B" w:rsidRDefault="001A0F3B" w:rsidP="00890986">
            <w:pPr>
              <w:ind w:firstLine="0"/>
              <w:jc w:val="center"/>
            </w:pPr>
          </w:p>
        </w:tc>
        <w:tc>
          <w:tcPr>
            <w:tcW w:w="3401" w:type="dxa"/>
            <w:vAlign w:val="center"/>
          </w:tcPr>
          <w:p w14:paraId="3DAAF2FC" w14:textId="77777777" w:rsidR="00437C34" w:rsidRDefault="0031606F" w:rsidP="00256B7C">
            <w:pPr>
              <w:ind w:firstLine="0"/>
            </w:pPr>
            <w:r>
              <w:t>Attīstīt maksas pakalpojumus, piedāvājot jaunus pakalpojuma veidus</w:t>
            </w:r>
          </w:p>
        </w:tc>
        <w:tc>
          <w:tcPr>
            <w:tcW w:w="2551" w:type="dxa"/>
            <w:vAlign w:val="center"/>
          </w:tcPr>
          <w:p w14:paraId="62387BEC" w14:textId="77777777" w:rsidR="001A0F3B" w:rsidRDefault="001A0F3B" w:rsidP="00256B7C">
            <w:pPr>
              <w:ind w:firstLine="0"/>
            </w:pPr>
          </w:p>
        </w:tc>
        <w:tc>
          <w:tcPr>
            <w:tcW w:w="2835" w:type="dxa"/>
            <w:vAlign w:val="center"/>
          </w:tcPr>
          <w:p w14:paraId="2BF6E66D" w14:textId="3B80D8A0" w:rsidR="001A0F3B" w:rsidRDefault="00A07B26" w:rsidP="00256B7C">
            <w:pPr>
              <w:ind w:firstLine="0"/>
            </w:pPr>
            <w:r>
              <w:t>Pap</w:t>
            </w:r>
            <w:r w:rsidR="00D02FB4">
              <w:t xml:space="preserve">ildināti </w:t>
            </w:r>
            <w:r>
              <w:t>LOR</w:t>
            </w:r>
            <w:r w:rsidR="000C7BC1">
              <w:t>, uroloģijas</w:t>
            </w:r>
            <w:r>
              <w:t xml:space="preserve"> maksas operāciju </w:t>
            </w:r>
            <w:r w:rsidR="00D02FB4">
              <w:t xml:space="preserve">veidi un </w:t>
            </w:r>
            <w:proofErr w:type="spellStart"/>
            <w:r w:rsidR="00D02FB4">
              <w:t>endoskopisko</w:t>
            </w:r>
            <w:proofErr w:type="spellEnd"/>
            <w:r w:rsidR="00D02FB4">
              <w:t xml:space="preserve"> izmeklējumu veidi dienas stacionārā</w:t>
            </w:r>
          </w:p>
        </w:tc>
        <w:tc>
          <w:tcPr>
            <w:tcW w:w="2569" w:type="dxa"/>
            <w:vAlign w:val="center"/>
          </w:tcPr>
          <w:p w14:paraId="39F2A755" w14:textId="77777777" w:rsidR="001A0F3B" w:rsidRDefault="001A0F3B" w:rsidP="00256B7C">
            <w:pPr>
              <w:ind w:firstLine="0"/>
            </w:pPr>
          </w:p>
        </w:tc>
      </w:tr>
      <w:tr w:rsidR="0001088F" w14:paraId="646D7D1D" w14:textId="77777777" w:rsidTr="00890986">
        <w:trPr>
          <w:tblHeader/>
          <w:jc w:val="center"/>
        </w:trPr>
        <w:tc>
          <w:tcPr>
            <w:tcW w:w="675" w:type="dxa"/>
            <w:vAlign w:val="center"/>
          </w:tcPr>
          <w:p w14:paraId="7EB2F410" w14:textId="77777777" w:rsidR="006750F0" w:rsidRDefault="006750F0" w:rsidP="00890986">
            <w:pPr>
              <w:ind w:firstLine="0"/>
              <w:jc w:val="center"/>
            </w:pPr>
            <w:r>
              <w:t>2.</w:t>
            </w:r>
          </w:p>
        </w:tc>
        <w:tc>
          <w:tcPr>
            <w:tcW w:w="2553" w:type="dxa"/>
            <w:vAlign w:val="center"/>
          </w:tcPr>
          <w:p w14:paraId="324A02F9" w14:textId="77777777" w:rsidR="001A0F3B" w:rsidRDefault="0031606F" w:rsidP="00890986">
            <w:pPr>
              <w:ind w:firstLine="0"/>
              <w:jc w:val="center"/>
              <w:rPr>
                <w:b/>
              </w:rPr>
            </w:pPr>
            <w:r w:rsidRPr="0023160A">
              <w:rPr>
                <w:b/>
              </w:rPr>
              <w:t>Stacionāra darbības uzlabošanai</w:t>
            </w:r>
          </w:p>
          <w:p w14:paraId="5C60D95B" w14:textId="77777777" w:rsidR="0023160A" w:rsidRPr="0023160A" w:rsidRDefault="0023160A" w:rsidP="0089098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1" w:type="dxa"/>
            <w:vAlign w:val="center"/>
          </w:tcPr>
          <w:p w14:paraId="0A7F5C2B" w14:textId="77777777" w:rsidR="001A0F3B" w:rsidRDefault="00B5470B" w:rsidP="00256B7C">
            <w:pPr>
              <w:ind w:firstLine="0"/>
            </w:pPr>
            <w:r>
              <w:t>Saglabāt pakalpojumu pieejamību, cenšoties to uzlabot</w:t>
            </w:r>
            <w:r w:rsidR="00D02FB4">
              <w:t>. Samazināt vidējo ārstēšanas ilgumu</w:t>
            </w:r>
          </w:p>
        </w:tc>
        <w:tc>
          <w:tcPr>
            <w:tcW w:w="2551" w:type="dxa"/>
            <w:vAlign w:val="center"/>
          </w:tcPr>
          <w:p w14:paraId="52FF8482" w14:textId="77777777" w:rsidR="001A0F3B" w:rsidRDefault="00B5470B" w:rsidP="00256B7C">
            <w:pPr>
              <w:ind w:firstLine="0"/>
            </w:pPr>
            <w:r>
              <w:t>Saglabāt esošos pakalpojumu veidus un ieviest jaunus pakalpojumus</w:t>
            </w:r>
            <w:r w:rsidR="00D02FB4">
              <w:t xml:space="preserve"> līdz 2019.g</w:t>
            </w:r>
          </w:p>
        </w:tc>
        <w:tc>
          <w:tcPr>
            <w:tcW w:w="2835" w:type="dxa"/>
            <w:vAlign w:val="center"/>
          </w:tcPr>
          <w:p w14:paraId="2F8B537B" w14:textId="2826907B" w:rsidR="0031230A" w:rsidRDefault="0031230A" w:rsidP="00256B7C">
            <w:pPr>
              <w:ind w:firstLine="0"/>
            </w:pPr>
            <w:r>
              <w:t>Ir saglabāti esošie pakalpojumu veidi</w:t>
            </w:r>
            <w:r w:rsidR="00B444DA">
              <w:t>. Uzlabota uroloģijas pakalpojumu pieejamība.</w:t>
            </w:r>
          </w:p>
          <w:p w14:paraId="0F0E70E0" w14:textId="77777777" w:rsidR="001A0F3B" w:rsidRDefault="001A0F3B" w:rsidP="00256B7C">
            <w:pPr>
              <w:ind w:firstLine="0"/>
            </w:pPr>
          </w:p>
        </w:tc>
        <w:tc>
          <w:tcPr>
            <w:tcW w:w="2569" w:type="dxa"/>
            <w:vAlign w:val="center"/>
          </w:tcPr>
          <w:p w14:paraId="380CF706" w14:textId="088385E6" w:rsidR="001A0F3B" w:rsidRDefault="00644E37" w:rsidP="00256B7C">
            <w:pPr>
              <w:ind w:firstLine="0"/>
            </w:pPr>
            <w:r>
              <w:t xml:space="preserve">Vidējo ārstēšanās ilgumu nav izdevies samazināt, ņemot vērā pacientu slimību smagumu. Skat </w:t>
            </w:r>
            <w:r w:rsidR="00750763">
              <w:t>5</w:t>
            </w:r>
            <w:r>
              <w:t>.pielikumu</w:t>
            </w:r>
          </w:p>
        </w:tc>
      </w:tr>
      <w:tr w:rsidR="0001088F" w14:paraId="00977CEA" w14:textId="77777777" w:rsidTr="00890986">
        <w:trPr>
          <w:tblHeader/>
          <w:jc w:val="center"/>
        </w:trPr>
        <w:tc>
          <w:tcPr>
            <w:tcW w:w="675" w:type="dxa"/>
            <w:vAlign w:val="center"/>
          </w:tcPr>
          <w:p w14:paraId="5765BCDE" w14:textId="77777777" w:rsidR="00B5470B" w:rsidRDefault="00B5470B" w:rsidP="00890986">
            <w:pPr>
              <w:ind w:firstLine="0"/>
              <w:jc w:val="center"/>
            </w:pPr>
          </w:p>
        </w:tc>
        <w:tc>
          <w:tcPr>
            <w:tcW w:w="2553" w:type="dxa"/>
            <w:vAlign w:val="center"/>
          </w:tcPr>
          <w:p w14:paraId="750B69BC" w14:textId="77777777" w:rsidR="00B5470B" w:rsidRDefault="00B5470B" w:rsidP="00890986">
            <w:pPr>
              <w:ind w:firstLine="0"/>
              <w:jc w:val="center"/>
            </w:pPr>
          </w:p>
        </w:tc>
        <w:tc>
          <w:tcPr>
            <w:tcW w:w="3401" w:type="dxa"/>
            <w:vAlign w:val="center"/>
          </w:tcPr>
          <w:p w14:paraId="51E45060" w14:textId="77777777" w:rsidR="00CB1281" w:rsidRDefault="00B5470B" w:rsidP="00256B7C">
            <w:pPr>
              <w:ind w:firstLine="0"/>
            </w:pPr>
            <w:r>
              <w:t>Pilnveidot stacionārās palīdzības kvalitāti</w:t>
            </w:r>
            <w:r w:rsidR="004F115A">
              <w:t>.</w:t>
            </w:r>
          </w:p>
          <w:p w14:paraId="3EEC4F1D" w14:textId="77777777" w:rsidR="00B5470B" w:rsidRDefault="00B5470B" w:rsidP="00256B7C">
            <w:pPr>
              <w:ind w:firstLine="0"/>
            </w:pPr>
          </w:p>
        </w:tc>
        <w:tc>
          <w:tcPr>
            <w:tcW w:w="2551" w:type="dxa"/>
            <w:vAlign w:val="center"/>
          </w:tcPr>
          <w:p w14:paraId="0AA3D604" w14:textId="77777777" w:rsidR="00B5470B" w:rsidRDefault="00D02FB4" w:rsidP="00256B7C">
            <w:pPr>
              <w:ind w:firstLine="0"/>
            </w:pPr>
            <w:r>
              <w:t xml:space="preserve">Personāla kvalifikācijas celšana </w:t>
            </w:r>
            <w:r w:rsidR="00CB1281">
              <w:t>Turpināt sabiedrībā strādājošo (pamatdarbā) ārstniecības personu kvalifikācijas celšanu, kompensējot kvalifikācijas celšanas kursu un semināru izmaksas</w:t>
            </w:r>
          </w:p>
        </w:tc>
        <w:tc>
          <w:tcPr>
            <w:tcW w:w="2835" w:type="dxa"/>
            <w:vAlign w:val="center"/>
          </w:tcPr>
          <w:p w14:paraId="4A56200F" w14:textId="77777777" w:rsidR="00B5470B" w:rsidRDefault="00E3740B" w:rsidP="00256B7C">
            <w:pPr>
              <w:ind w:firstLine="0"/>
            </w:pPr>
            <w:r>
              <w:t>Slimnīca apmaksājusi kursus 93 slimnīcas darbiniekiem</w:t>
            </w:r>
          </w:p>
        </w:tc>
        <w:tc>
          <w:tcPr>
            <w:tcW w:w="2569" w:type="dxa"/>
            <w:vAlign w:val="center"/>
          </w:tcPr>
          <w:p w14:paraId="6518B9A9" w14:textId="77777777" w:rsidR="00B5470B" w:rsidRDefault="00B5470B" w:rsidP="00256B7C">
            <w:pPr>
              <w:ind w:firstLine="0"/>
            </w:pPr>
          </w:p>
        </w:tc>
      </w:tr>
      <w:tr w:rsidR="0001088F" w14:paraId="194BB8E0" w14:textId="77777777" w:rsidTr="00890986">
        <w:trPr>
          <w:tblHeader/>
          <w:jc w:val="center"/>
        </w:trPr>
        <w:tc>
          <w:tcPr>
            <w:tcW w:w="675" w:type="dxa"/>
            <w:vAlign w:val="center"/>
          </w:tcPr>
          <w:p w14:paraId="4E9FBB6E" w14:textId="77777777" w:rsidR="0097652D" w:rsidRDefault="0097652D" w:rsidP="00890986">
            <w:pPr>
              <w:ind w:firstLine="0"/>
              <w:jc w:val="center"/>
            </w:pPr>
          </w:p>
        </w:tc>
        <w:tc>
          <w:tcPr>
            <w:tcW w:w="2553" w:type="dxa"/>
            <w:vAlign w:val="center"/>
          </w:tcPr>
          <w:p w14:paraId="60E63B0F" w14:textId="77777777" w:rsidR="0097652D" w:rsidRDefault="0097652D" w:rsidP="00890986">
            <w:pPr>
              <w:ind w:firstLine="0"/>
              <w:jc w:val="center"/>
            </w:pPr>
          </w:p>
        </w:tc>
        <w:tc>
          <w:tcPr>
            <w:tcW w:w="3401" w:type="dxa"/>
            <w:vAlign w:val="center"/>
          </w:tcPr>
          <w:p w14:paraId="7B749A6B" w14:textId="77777777" w:rsidR="0097652D" w:rsidRDefault="0097652D" w:rsidP="00256B7C">
            <w:pPr>
              <w:ind w:firstLine="0"/>
            </w:pPr>
            <w:r>
              <w:t>Plašāk izmantot iespējas aizvietot stacionāros pakalpojumus ar dienas stacionāra un ambulatorajiem pakalpojumiem, nodrošinot efektīvāku gultu fonda izmantošanu, nepazeminot ārstēšanas kvalitāti</w:t>
            </w:r>
          </w:p>
        </w:tc>
        <w:tc>
          <w:tcPr>
            <w:tcW w:w="2551" w:type="dxa"/>
            <w:vAlign w:val="center"/>
          </w:tcPr>
          <w:p w14:paraId="4354F142" w14:textId="77777777" w:rsidR="0097652D" w:rsidRDefault="00836B7F" w:rsidP="00256B7C">
            <w:pPr>
              <w:ind w:firstLine="0"/>
            </w:pPr>
            <w:r>
              <w:t>Attīstīt dienas stacionārā sniegto pakalpojumu veidu un skaitu</w:t>
            </w:r>
          </w:p>
        </w:tc>
        <w:tc>
          <w:tcPr>
            <w:tcW w:w="2835" w:type="dxa"/>
            <w:vAlign w:val="center"/>
          </w:tcPr>
          <w:p w14:paraId="2CB84A84" w14:textId="77777777" w:rsidR="00644E37" w:rsidRDefault="00644E37" w:rsidP="00256B7C">
            <w:pPr>
              <w:ind w:firstLine="0"/>
            </w:pPr>
            <w:r>
              <w:t>Izpildīts</w:t>
            </w:r>
          </w:p>
          <w:p w14:paraId="75B907C0" w14:textId="77777777" w:rsidR="00B444DA" w:rsidRDefault="00890986" w:rsidP="00256B7C">
            <w:pPr>
              <w:ind w:firstLine="0"/>
            </w:pPr>
            <w:r>
              <w:t>(s</w:t>
            </w:r>
            <w:r w:rsidR="00D02FB4">
              <w:t xml:space="preserve">kat. </w:t>
            </w:r>
            <w:r w:rsidR="00E3076A">
              <w:t>2</w:t>
            </w:r>
            <w:r w:rsidR="00D02FB4">
              <w:t>.</w:t>
            </w:r>
            <w:r w:rsidR="00437B2B">
              <w:t> </w:t>
            </w:r>
            <w:r w:rsidR="00D02FB4">
              <w:t>pielikumu</w:t>
            </w:r>
            <w:r>
              <w:t>)</w:t>
            </w:r>
            <w:r w:rsidR="00B444DA">
              <w:t xml:space="preserve"> </w:t>
            </w:r>
          </w:p>
          <w:p w14:paraId="350F861E" w14:textId="7371F460" w:rsidR="0097652D" w:rsidRDefault="00B444DA" w:rsidP="00256B7C">
            <w:pPr>
              <w:ind w:firstLine="0"/>
            </w:pPr>
            <w:r>
              <w:t xml:space="preserve">2015-2019.gada periodā samazinājies stacionāro pakalpojumu skaits, savukārt, pieaudzis dienas stacionāra un īslaicīgās ķirurģijas pacientu skaits </w:t>
            </w:r>
          </w:p>
        </w:tc>
        <w:tc>
          <w:tcPr>
            <w:tcW w:w="2569" w:type="dxa"/>
            <w:vAlign w:val="center"/>
          </w:tcPr>
          <w:p w14:paraId="2F98F069" w14:textId="77777777" w:rsidR="0097652D" w:rsidRDefault="0097652D" w:rsidP="00890986">
            <w:pPr>
              <w:ind w:firstLine="0"/>
              <w:jc w:val="center"/>
            </w:pPr>
          </w:p>
        </w:tc>
      </w:tr>
      <w:tr w:rsidR="0001088F" w14:paraId="5988F9AF" w14:textId="77777777" w:rsidTr="00890986">
        <w:trPr>
          <w:tblHeader/>
          <w:jc w:val="center"/>
        </w:trPr>
        <w:tc>
          <w:tcPr>
            <w:tcW w:w="675" w:type="dxa"/>
            <w:vAlign w:val="center"/>
          </w:tcPr>
          <w:p w14:paraId="09001CDB" w14:textId="77777777" w:rsidR="001A0F3B" w:rsidRDefault="001A0F3B" w:rsidP="00890986">
            <w:pPr>
              <w:ind w:firstLine="0"/>
              <w:jc w:val="center"/>
            </w:pPr>
          </w:p>
        </w:tc>
        <w:tc>
          <w:tcPr>
            <w:tcW w:w="2553" w:type="dxa"/>
            <w:vAlign w:val="center"/>
          </w:tcPr>
          <w:p w14:paraId="645FA8DE" w14:textId="77777777" w:rsidR="001A0F3B" w:rsidRDefault="001A0F3B" w:rsidP="00890986">
            <w:pPr>
              <w:ind w:firstLine="0"/>
              <w:jc w:val="center"/>
            </w:pPr>
          </w:p>
        </w:tc>
        <w:tc>
          <w:tcPr>
            <w:tcW w:w="3401" w:type="dxa"/>
            <w:vAlign w:val="center"/>
          </w:tcPr>
          <w:p w14:paraId="44DE260A" w14:textId="77777777" w:rsidR="001A0F3B" w:rsidRDefault="00EC3838" w:rsidP="00256B7C">
            <w:pPr>
              <w:ind w:firstLine="0"/>
            </w:pPr>
            <w:r>
              <w:t>Analizēt atkārtotas hospitalizācijas iemeslus</w:t>
            </w:r>
            <w:r w:rsidR="00543CFA">
              <w:t>, veicot mērķtiecīgu darbu ar pacientiem</w:t>
            </w:r>
          </w:p>
        </w:tc>
        <w:tc>
          <w:tcPr>
            <w:tcW w:w="2551" w:type="dxa"/>
            <w:vAlign w:val="center"/>
          </w:tcPr>
          <w:p w14:paraId="19661BDC" w14:textId="77777777" w:rsidR="001A0F3B" w:rsidRDefault="001A0F3B" w:rsidP="00256B7C">
            <w:pPr>
              <w:ind w:firstLine="0"/>
            </w:pPr>
          </w:p>
        </w:tc>
        <w:tc>
          <w:tcPr>
            <w:tcW w:w="2835" w:type="dxa"/>
            <w:vAlign w:val="center"/>
          </w:tcPr>
          <w:p w14:paraId="7D4792AC" w14:textId="77777777" w:rsidR="001A0F3B" w:rsidRDefault="00D02FB4" w:rsidP="00256B7C">
            <w:pPr>
              <w:ind w:firstLine="0"/>
            </w:pPr>
            <w:r>
              <w:t>Kvalitātes vadības sistēmas ietvaros tiek veikta regulāra analīze</w:t>
            </w:r>
          </w:p>
        </w:tc>
        <w:tc>
          <w:tcPr>
            <w:tcW w:w="2569" w:type="dxa"/>
            <w:vAlign w:val="center"/>
          </w:tcPr>
          <w:p w14:paraId="3DD2C2D3" w14:textId="77777777" w:rsidR="001A0F3B" w:rsidRDefault="001A0F3B" w:rsidP="00890986">
            <w:pPr>
              <w:ind w:firstLine="0"/>
              <w:jc w:val="center"/>
            </w:pPr>
          </w:p>
        </w:tc>
      </w:tr>
      <w:tr w:rsidR="0001088F" w14:paraId="11CEF3EF" w14:textId="77777777" w:rsidTr="00890986">
        <w:trPr>
          <w:tblHeader/>
          <w:jc w:val="center"/>
        </w:trPr>
        <w:tc>
          <w:tcPr>
            <w:tcW w:w="675" w:type="dxa"/>
            <w:vAlign w:val="center"/>
          </w:tcPr>
          <w:p w14:paraId="76DF9107" w14:textId="77777777" w:rsidR="001A0F3B" w:rsidRDefault="001A0F3B" w:rsidP="00890986">
            <w:pPr>
              <w:ind w:firstLine="0"/>
              <w:jc w:val="center"/>
            </w:pPr>
          </w:p>
        </w:tc>
        <w:tc>
          <w:tcPr>
            <w:tcW w:w="2553" w:type="dxa"/>
            <w:vAlign w:val="center"/>
          </w:tcPr>
          <w:p w14:paraId="79CBAD4E" w14:textId="77777777" w:rsidR="001A0F3B" w:rsidRDefault="001A0F3B" w:rsidP="00890986">
            <w:pPr>
              <w:ind w:firstLine="0"/>
              <w:jc w:val="center"/>
            </w:pPr>
          </w:p>
        </w:tc>
        <w:tc>
          <w:tcPr>
            <w:tcW w:w="3401" w:type="dxa"/>
            <w:vAlign w:val="center"/>
          </w:tcPr>
          <w:p w14:paraId="15C47B9B" w14:textId="77777777" w:rsidR="001A0F3B" w:rsidRDefault="00543CFA" w:rsidP="00256B7C">
            <w:pPr>
              <w:ind w:firstLine="0"/>
            </w:pPr>
            <w:r>
              <w:t>Analizēt gultu fonda noslodzes rādītāju, lai nodrošinātu optimālu gultu noslodzi un personāla resursu izmantošanu.</w:t>
            </w:r>
          </w:p>
        </w:tc>
        <w:tc>
          <w:tcPr>
            <w:tcW w:w="2551" w:type="dxa"/>
            <w:vAlign w:val="center"/>
          </w:tcPr>
          <w:p w14:paraId="2DC69CF0" w14:textId="77777777" w:rsidR="001A0F3B" w:rsidRDefault="001A0F3B" w:rsidP="00256B7C">
            <w:pPr>
              <w:ind w:firstLine="0"/>
            </w:pPr>
          </w:p>
        </w:tc>
        <w:tc>
          <w:tcPr>
            <w:tcW w:w="2835" w:type="dxa"/>
            <w:vAlign w:val="center"/>
          </w:tcPr>
          <w:p w14:paraId="377F5C6F" w14:textId="77777777" w:rsidR="001A0F3B" w:rsidRDefault="00D02FB4" w:rsidP="00256B7C">
            <w:pPr>
              <w:ind w:firstLine="0"/>
            </w:pPr>
            <w:r>
              <w:t>Analīze tiek veikta 1x cet. (</w:t>
            </w:r>
            <w:r w:rsidR="00890986">
              <w:t>v</w:t>
            </w:r>
            <w:r>
              <w:t>eiktas izmaiņas ginekoloģiskajā dienestā)</w:t>
            </w:r>
          </w:p>
        </w:tc>
        <w:tc>
          <w:tcPr>
            <w:tcW w:w="2569" w:type="dxa"/>
            <w:vAlign w:val="center"/>
          </w:tcPr>
          <w:p w14:paraId="2C09DF79" w14:textId="443B57E2" w:rsidR="001A0F3B" w:rsidRDefault="00E3076A" w:rsidP="00E3076A">
            <w:pPr>
              <w:ind w:firstLine="0"/>
            </w:pPr>
            <w:r>
              <w:t xml:space="preserve">Gultu noslodze ir samazinājusies, jo, lai neveidotos rindas uz stacionāra pakalpojumiem, tika palielināts gultu skaits. </w:t>
            </w:r>
          </w:p>
        </w:tc>
      </w:tr>
      <w:tr w:rsidR="0001088F" w14:paraId="4482FA09" w14:textId="77777777" w:rsidTr="00890986">
        <w:trPr>
          <w:tblHeader/>
          <w:jc w:val="center"/>
        </w:trPr>
        <w:tc>
          <w:tcPr>
            <w:tcW w:w="675" w:type="dxa"/>
            <w:vAlign w:val="center"/>
          </w:tcPr>
          <w:p w14:paraId="4B70DC88" w14:textId="77777777" w:rsidR="001A0F3B" w:rsidRDefault="001A0F3B" w:rsidP="00890986">
            <w:pPr>
              <w:ind w:firstLine="0"/>
              <w:jc w:val="center"/>
            </w:pPr>
          </w:p>
        </w:tc>
        <w:tc>
          <w:tcPr>
            <w:tcW w:w="2553" w:type="dxa"/>
            <w:vAlign w:val="center"/>
          </w:tcPr>
          <w:p w14:paraId="43C93CE6" w14:textId="77777777" w:rsidR="001A0F3B" w:rsidRDefault="001A0F3B" w:rsidP="00890986">
            <w:pPr>
              <w:ind w:firstLine="0"/>
              <w:jc w:val="center"/>
            </w:pPr>
          </w:p>
        </w:tc>
        <w:tc>
          <w:tcPr>
            <w:tcW w:w="3401" w:type="dxa"/>
            <w:vAlign w:val="center"/>
          </w:tcPr>
          <w:p w14:paraId="1A322830" w14:textId="77777777" w:rsidR="001A0F3B" w:rsidRDefault="00543CFA" w:rsidP="00256B7C">
            <w:pPr>
              <w:ind w:firstLine="0"/>
            </w:pPr>
            <w:r>
              <w:t xml:space="preserve">Attīstīt </w:t>
            </w:r>
            <w:proofErr w:type="spellStart"/>
            <w:r>
              <w:t>mazinvazīvas</w:t>
            </w:r>
            <w:proofErr w:type="spellEnd"/>
            <w:r>
              <w:t xml:space="preserve"> ķirurģijas metožu pielietošanu</w:t>
            </w:r>
          </w:p>
        </w:tc>
        <w:tc>
          <w:tcPr>
            <w:tcW w:w="2551" w:type="dxa"/>
            <w:vAlign w:val="center"/>
          </w:tcPr>
          <w:p w14:paraId="113C6ABE" w14:textId="77777777" w:rsidR="001A0F3B" w:rsidRDefault="00D36334" w:rsidP="00256B7C">
            <w:pPr>
              <w:ind w:firstLine="0"/>
            </w:pPr>
            <w:r>
              <w:t xml:space="preserve">Iegādāties </w:t>
            </w:r>
            <w:r w:rsidR="003E2B37">
              <w:t>medicīnisko aprīkojumu, šādu metožu ieviešanai</w:t>
            </w:r>
          </w:p>
        </w:tc>
        <w:tc>
          <w:tcPr>
            <w:tcW w:w="2835" w:type="dxa"/>
            <w:vAlign w:val="center"/>
          </w:tcPr>
          <w:p w14:paraId="55D7C26E" w14:textId="157B5846" w:rsidR="001A0F3B" w:rsidRDefault="00644E37" w:rsidP="00256B7C">
            <w:pPr>
              <w:ind w:firstLine="0"/>
            </w:pPr>
            <w:r>
              <w:t xml:space="preserve">Izpildīts. </w:t>
            </w:r>
            <w:r w:rsidR="003E2B37">
              <w:t xml:space="preserve">Nopirkts ultraskaņas un modernās bipolārās tehnoloģijas ģenerators un piederumi </w:t>
            </w:r>
          </w:p>
          <w:p w14:paraId="514AD3C5" w14:textId="77777777" w:rsidR="001075EC" w:rsidRDefault="001075EC" w:rsidP="00256B7C">
            <w:pPr>
              <w:ind w:firstLine="0"/>
            </w:pPr>
          </w:p>
        </w:tc>
        <w:tc>
          <w:tcPr>
            <w:tcW w:w="2569" w:type="dxa"/>
            <w:vAlign w:val="center"/>
          </w:tcPr>
          <w:p w14:paraId="3EAB164A" w14:textId="77777777" w:rsidR="001A0F3B" w:rsidRDefault="001A0F3B" w:rsidP="00890986">
            <w:pPr>
              <w:ind w:firstLine="0"/>
              <w:jc w:val="center"/>
            </w:pPr>
          </w:p>
        </w:tc>
      </w:tr>
      <w:tr w:rsidR="0001088F" w14:paraId="41EB8A3F" w14:textId="77777777" w:rsidTr="00890986">
        <w:trPr>
          <w:tblHeader/>
          <w:jc w:val="center"/>
        </w:trPr>
        <w:tc>
          <w:tcPr>
            <w:tcW w:w="675" w:type="dxa"/>
            <w:vAlign w:val="center"/>
          </w:tcPr>
          <w:p w14:paraId="6FBF0D59" w14:textId="77777777" w:rsidR="006750F0" w:rsidRDefault="006750F0" w:rsidP="00890986">
            <w:pPr>
              <w:ind w:firstLine="0"/>
              <w:jc w:val="center"/>
            </w:pPr>
            <w:r>
              <w:lastRenderedPageBreak/>
              <w:t>3.</w:t>
            </w:r>
          </w:p>
        </w:tc>
        <w:tc>
          <w:tcPr>
            <w:tcW w:w="2553" w:type="dxa"/>
            <w:vAlign w:val="center"/>
          </w:tcPr>
          <w:p w14:paraId="0F70069F" w14:textId="77777777" w:rsidR="001A0F3B" w:rsidRPr="0023160A" w:rsidRDefault="00B454AE" w:rsidP="00890986">
            <w:pPr>
              <w:ind w:firstLine="0"/>
              <w:jc w:val="center"/>
              <w:rPr>
                <w:b/>
              </w:rPr>
            </w:pPr>
            <w:r w:rsidRPr="0023160A">
              <w:rPr>
                <w:b/>
              </w:rPr>
              <w:t>Onkoloģijas aprūpes attīstība</w:t>
            </w:r>
          </w:p>
        </w:tc>
        <w:tc>
          <w:tcPr>
            <w:tcW w:w="3401" w:type="dxa"/>
            <w:vAlign w:val="center"/>
          </w:tcPr>
          <w:p w14:paraId="57BABBD4" w14:textId="77777777" w:rsidR="001A0F3B" w:rsidRDefault="00B454AE" w:rsidP="00256B7C">
            <w:pPr>
              <w:ind w:firstLine="0"/>
            </w:pPr>
            <w:r>
              <w:t>Savlaicīga vēža diagnostikas un ārstēšanas nodrošināšana Jēkabpils reģionā</w:t>
            </w:r>
          </w:p>
        </w:tc>
        <w:tc>
          <w:tcPr>
            <w:tcW w:w="2551" w:type="dxa"/>
            <w:vAlign w:val="center"/>
          </w:tcPr>
          <w:p w14:paraId="31C4AB74" w14:textId="77777777" w:rsidR="001A0F3B" w:rsidRDefault="00525C0E" w:rsidP="00256B7C">
            <w:pPr>
              <w:ind w:firstLine="0"/>
            </w:pPr>
            <w:r>
              <w:t>Sertificēta speciālista piesaiste</w:t>
            </w:r>
          </w:p>
        </w:tc>
        <w:tc>
          <w:tcPr>
            <w:tcW w:w="2835" w:type="dxa"/>
            <w:vAlign w:val="center"/>
          </w:tcPr>
          <w:p w14:paraId="49ECFFA2" w14:textId="5BE02642" w:rsidR="001A0F3B" w:rsidRDefault="00551CD6" w:rsidP="00256B7C">
            <w:pPr>
              <w:ind w:firstLine="0"/>
            </w:pPr>
            <w:r>
              <w:t xml:space="preserve">Nav izpildīts. </w:t>
            </w:r>
          </w:p>
        </w:tc>
        <w:tc>
          <w:tcPr>
            <w:tcW w:w="2569" w:type="dxa"/>
            <w:vAlign w:val="center"/>
          </w:tcPr>
          <w:p w14:paraId="2417D8F9" w14:textId="4128969B" w:rsidR="001A0F3B" w:rsidRDefault="00551CD6" w:rsidP="00890986">
            <w:pPr>
              <w:ind w:firstLine="0"/>
              <w:jc w:val="center"/>
            </w:pPr>
            <w:r>
              <w:t>Speciālistu trūkums.</w:t>
            </w:r>
          </w:p>
        </w:tc>
      </w:tr>
      <w:tr w:rsidR="0001088F" w14:paraId="2CB4FD32" w14:textId="77777777" w:rsidTr="00890986">
        <w:trPr>
          <w:tblHeader/>
          <w:jc w:val="center"/>
        </w:trPr>
        <w:tc>
          <w:tcPr>
            <w:tcW w:w="675" w:type="dxa"/>
            <w:vAlign w:val="center"/>
          </w:tcPr>
          <w:p w14:paraId="042358CC" w14:textId="77777777" w:rsidR="006750F0" w:rsidRDefault="006750F0" w:rsidP="00890986">
            <w:pPr>
              <w:ind w:firstLine="0"/>
              <w:jc w:val="center"/>
            </w:pPr>
            <w:r>
              <w:t>4.</w:t>
            </w:r>
          </w:p>
        </w:tc>
        <w:tc>
          <w:tcPr>
            <w:tcW w:w="2553" w:type="dxa"/>
            <w:vAlign w:val="center"/>
          </w:tcPr>
          <w:p w14:paraId="5B124FA4" w14:textId="77777777" w:rsidR="001A0F3B" w:rsidRPr="0023160A" w:rsidRDefault="00B454AE" w:rsidP="00890986">
            <w:pPr>
              <w:ind w:firstLine="0"/>
              <w:jc w:val="center"/>
              <w:rPr>
                <w:b/>
              </w:rPr>
            </w:pPr>
            <w:r w:rsidRPr="0023160A">
              <w:rPr>
                <w:b/>
              </w:rPr>
              <w:t>Sirds un asinsvadu veselības aprūpes attīstība</w:t>
            </w:r>
          </w:p>
        </w:tc>
        <w:tc>
          <w:tcPr>
            <w:tcW w:w="3401" w:type="dxa"/>
            <w:vAlign w:val="center"/>
          </w:tcPr>
          <w:p w14:paraId="688635FF" w14:textId="77777777" w:rsidR="001A0F3B" w:rsidRDefault="00B454AE" w:rsidP="00256B7C">
            <w:pPr>
              <w:ind w:firstLine="0"/>
            </w:pPr>
            <w:r>
              <w:t>Savlaicīga sirds un asinsvadu slimību diagnosticēšana</w:t>
            </w:r>
          </w:p>
        </w:tc>
        <w:tc>
          <w:tcPr>
            <w:tcW w:w="2551" w:type="dxa"/>
            <w:vAlign w:val="center"/>
          </w:tcPr>
          <w:p w14:paraId="7FD2554B" w14:textId="77777777" w:rsidR="001A0F3B" w:rsidRDefault="00B454AE" w:rsidP="00256B7C">
            <w:pPr>
              <w:ind w:firstLine="0"/>
            </w:pPr>
            <w:r>
              <w:t>Jaunu medicīnisko tehnoloģiju iegāde (veco iekārtu nomaiņa pret jaunām)</w:t>
            </w:r>
          </w:p>
        </w:tc>
        <w:tc>
          <w:tcPr>
            <w:tcW w:w="2835" w:type="dxa"/>
            <w:vAlign w:val="center"/>
          </w:tcPr>
          <w:p w14:paraId="431F2066" w14:textId="77777777" w:rsidR="001A0F3B" w:rsidRDefault="001075EC" w:rsidP="00256B7C">
            <w:pPr>
              <w:ind w:firstLine="0"/>
            </w:pPr>
            <w:r>
              <w:t>Veikta USG zondes nomaiņa</w:t>
            </w:r>
          </w:p>
        </w:tc>
        <w:tc>
          <w:tcPr>
            <w:tcW w:w="2569" w:type="dxa"/>
            <w:vAlign w:val="center"/>
          </w:tcPr>
          <w:p w14:paraId="1C2AB02A" w14:textId="77777777" w:rsidR="001A0F3B" w:rsidRDefault="001A0F3B" w:rsidP="00890986">
            <w:pPr>
              <w:ind w:firstLine="0"/>
              <w:jc w:val="center"/>
            </w:pPr>
          </w:p>
        </w:tc>
      </w:tr>
      <w:tr w:rsidR="0001088F" w14:paraId="6E917530" w14:textId="77777777" w:rsidTr="00890986">
        <w:trPr>
          <w:tblHeader/>
          <w:jc w:val="center"/>
        </w:trPr>
        <w:tc>
          <w:tcPr>
            <w:tcW w:w="675" w:type="dxa"/>
            <w:vAlign w:val="center"/>
          </w:tcPr>
          <w:p w14:paraId="36623B02" w14:textId="77777777" w:rsidR="001A0F3B" w:rsidRDefault="006750F0" w:rsidP="00890986">
            <w:pPr>
              <w:ind w:firstLine="0"/>
              <w:jc w:val="center"/>
            </w:pPr>
            <w:r>
              <w:t>5.</w:t>
            </w:r>
          </w:p>
        </w:tc>
        <w:tc>
          <w:tcPr>
            <w:tcW w:w="2553" w:type="dxa"/>
            <w:vAlign w:val="center"/>
          </w:tcPr>
          <w:p w14:paraId="717E9F61" w14:textId="77777777" w:rsidR="001A0F3B" w:rsidRPr="0023160A" w:rsidRDefault="004A158B" w:rsidP="00890986">
            <w:pPr>
              <w:ind w:firstLine="0"/>
              <w:jc w:val="center"/>
              <w:rPr>
                <w:b/>
              </w:rPr>
            </w:pPr>
            <w:r w:rsidRPr="0023160A">
              <w:rPr>
                <w:b/>
              </w:rPr>
              <w:t>Perinatālās aprūpes attīstība</w:t>
            </w:r>
          </w:p>
        </w:tc>
        <w:tc>
          <w:tcPr>
            <w:tcW w:w="3401" w:type="dxa"/>
            <w:vAlign w:val="center"/>
          </w:tcPr>
          <w:p w14:paraId="21B53C68" w14:textId="77777777" w:rsidR="001A0F3B" w:rsidRDefault="00716261" w:rsidP="00256B7C">
            <w:pPr>
              <w:ind w:firstLine="0"/>
            </w:pPr>
            <w:r>
              <w:rPr>
                <w:spacing w:val="-2"/>
              </w:rPr>
              <w:t>Jā</w:t>
            </w:r>
            <w:r w:rsidRPr="005A46E4">
              <w:rPr>
                <w:spacing w:val="-2"/>
              </w:rPr>
              <w:t xml:space="preserve">pilnveido </w:t>
            </w:r>
            <w:r>
              <w:rPr>
                <w:spacing w:val="-2"/>
              </w:rPr>
              <w:t>centra aprīkojums ar medicīniskajām tehnoloģijām</w:t>
            </w:r>
          </w:p>
        </w:tc>
        <w:tc>
          <w:tcPr>
            <w:tcW w:w="2551" w:type="dxa"/>
            <w:vAlign w:val="center"/>
          </w:tcPr>
          <w:p w14:paraId="40DB3879" w14:textId="77777777" w:rsidR="001A0F3B" w:rsidRDefault="001075EC" w:rsidP="00256B7C">
            <w:pPr>
              <w:ind w:firstLine="0"/>
            </w:pPr>
            <w:r>
              <w:t>Jauna aprīkojuma iegāde</w:t>
            </w:r>
          </w:p>
        </w:tc>
        <w:tc>
          <w:tcPr>
            <w:tcW w:w="2835" w:type="dxa"/>
            <w:vAlign w:val="center"/>
          </w:tcPr>
          <w:p w14:paraId="351259DE" w14:textId="77777777" w:rsidR="001A0F3B" w:rsidRDefault="001075EC" w:rsidP="00256B7C">
            <w:pPr>
              <w:ind w:firstLine="0"/>
            </w:pPr>
            <w:r>
              <w:t xml:space="preserve">Iegādāti Transporta </w:t>
            </w:r>
            <w:proofErr w:type="spellStart"/>
            <w:r>
              <w:t>perfuzori</w:t>
            </w:r>
            <w:proofErr w:type="spellEnd"/>
          </w:p>
        </w:tc>
        <w:tc>
          <w:tcPr>
            <w:tcW w:w="2569" w:type="dxa"/>
            <w:vAlign w:val="center"/>
          </w:tcPr>
          <w:p w14:paraId="1C0E604F" w14:textId="77777777" w:rsidR="001A0F3B" w:rsidRDefault="001A0F3B" w:rsidP="00890986">
            <w:pPr>
              <w:ind w:firstLine="0"/>
              <w:jc w:val="center"/>
            </w:pPr>
          </w:p>
        </w:tc>
      </w:tr>
      <w:tr w:rsidR="0001088F" w14:paraId="798854B2" w14:textId="77777777" w:rsidTr="00CC0449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5D499F02" w14:textId="77777777" w:rsidR="006750F0" w:rsidRDefault="006750F0" w:rsidP="00256B7C">
            <w:pPr>
              <w:ind w:firstLine="0"/>
            </w:pPr>
            <w:r>
              <w:t>6.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C65F135" w14:textId="77777777" w:rsidR="001A0F3B" w:rsidRPr="0023160A" w:rsidRDefault="004A158B" w:rsidP="00256B7C">
            <w:pPr>
              <w:ind w:firstLine="0"/>
              <w:rPr>
                <w:b/>
              </w:rPr>
            </w:pPr>
            <w:proofErr w:type="spellStart"/>
            <w:r w:rsidRPr="0023160A">
              <w:rPr>
                <w:b/>
              </w:rPr>
              <w:t>Gerentaloģijas</w:t>
            </w:r>
            <w:proofErr w:type="spellEnd"/>
            <w:r w:rsidRPr="0023160A">
              <w:rPr>
                <w:b/>
              </w:rPr>
              <w:t xml:space="preserve"> un paliatīvās aprūpes attīstība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1DE36429" w14:textId="77777777" w:rsidR="001A0F3B" w:rsidRDefault="002544BE" w:rsidP="00256B7C">
            <w:pPr>
              <w:ind w:firstLine="0"/>
            </w:pPr>
            <w:r w:rsidRPr="0048725E">
              <w:rPr>
                <w:spacing w:val="-2"/>
              </w:rPr>
              <w:t xml:space="preserve">Paliatīvās aprūpes pakalpojumu pieejamības paplašināšanai un </w:t>
            </w:r>
            <w:proofErr w:type="spellStart"/>
            <w:r w:rsidRPr="0048725E">
              <w:rPr>
                <w:spacing w:val="-2"/>
              </w:rPr>
              <w:t>gerentaloģijas</w:t>
            </w:r>
            <w:proofErr w:type="spellEnd"/>
            <w:r w:rsidRPr="0048725E">
              <w:rPr>
                <w:spacing w:val="-2"/>
              </w:rPr>
              <w:t xml:space="preserve"> attīstībai Jēkabpils reģionā nepieciešamas investīcijas telpu pielāgošanai Jēkabpils reģionālajā slimnīcā.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862D92" w14:textId="77777777" w:rsidR="001A0F3B" w:rsidRDefault="001075EC" w:rsidP="00256B7C">
            <w:pPr>
              <w:ind w:firstLine="0"/>
            </w:pPr>
            <w:r>
              <w:t>Pakalpojuma attīstība plānota 2017.- 2019.g.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8F081E" w14:textId="1BF89FFA" w:rsidR="001A0F3B" w:rsidRDefault="00CC0449" w:rsidP="00256B7C">
            <w:pPr>
              <w:ind w:firstLine="0"/>
            </w:pPr>
            <w:r>
              <w:t>Pakalpojuma sniegšanai  izveidota nodaļa ar  piecām gultām</w:t>
            </w:r>
          </w:p>
        </w:tc>
        <w:tc>
          <w:tcPr>
            <w:tcW w:w="2569" w:type="dxa"/>
            <w:shd w:val="clear" w:color="auto" w:fill="auto"/>
            <w:vAlign w:val="center"/>
          </w:tcPr>
          <w:p w14:paraId="573724B7" w14:textId="77777777" w:rsidR="001A0F3B" w:rsidRDefault="001A0F3B" w:rsidP="00256B7C">
            <w:pPr>
              <w:ind w:firstLine="0"/>
            </w:pPr>
          </w:p>
        </w:tc>
      </w:tr>
      <w:tr w:rsidR="0001088F" w14:paraId="495DC2BB" w14:textId="77777777" w:rsidTr="00890986">
        <w:trPr>
          <w:tblHeader/>
          <w:jc w:val="center"/>
        </w:trPr>
        <w:tc>
          <w:tcPr>
            <w:tcW w:w="675" w:type="dxa"/>
            <w:vAlign w:val="center"/>
          </w:tcPr>
          <w:p w14:paraId="7E263728" w14:textId="77777777" w:rsidR="001A0F3B" w:rsidRDefault="006750F0" w:rsidP="00256B7C">
            <w:pPr>
              <w:ind w:firstLine="0"/>
            </w:pPr>
            <w:r>
              <w:t>7.</w:t>
            </w:r>
          </w:p>
        </w:tc>
        <w:tc>
          <w:tcPr>
            <w:tcW w:w="2553" w:type="dxa"/>
            <w:vAlign w:val="center"/>
          </w:tcPr>
          <w:p w14:paraId="1B1EFB89" w14:textId="77777777" w:rsidR="001A0F3B" w:rsidRPr="0023160A" w:rsidRDefault="004A158B" w:rsidP="00256B7C">
            <w:pPr>
              <w:ind w:firstLine="0"/>
              <w:rPr>
                <w:b/>
              </w:rPr>
            </w:pPr>
            <w:r w:rsidRPr="0023160A">
              <w:rPr>
                <w:b/>
              </w:rPr>
              <w:t>Rehabilitācijas attīstība</w:t>
            </w:r>
          </w:p>
        </w:tc>
        <w:tc>
          <w:tcPr>
            <w:tcW w:w="3401" w:type="dxa"/>
            <w:vAlign w:val="center"/>
          </w:tcPr>
          <w:p w14:paraId="0EA46FF1" w14:textId="77777777" w:rsidR="001A0F3B" w:rsidRDefault="0001088F" w:rsidP="00256B7C">
            <w:pPr>
              <w:pStyle w:val="BodyTextIndent"/>
              <w:ind w:firstLine="0"/>
            </w:pPr>
            <w:r>
              <w:rPr>
                <w:sz w:val="24"/>
                <w:szCs w:val="24"/>
              </w:rPr>
              <w:t>N</w:t>
            </w:r>
            <w:r w:rsidR="00505474" w:rsidRPr="009574C4">
              <w:rPr>
                <w:sz w:val="24"/>
                <w:szCs w:val="24"/>
              </w:rPr>
              <w:t xml:space="preserve">epieciešamas investīcijas telpu pielāgošanai un aprīkojuma iegādei </w:t>
            </w:r>
            <w:r w:rsidR="00505474" w:rsidRPr="002548FA">
              <w:rPr>
                <w:sz w:val="24"/>
                <w:szCs w:val="24"/>
              </w:rPr>
              <w:t>Jēkabpils reģionālajā slimnīcā</w:t>
            </w:r>
            <w:r w:rsidR="00505474" w:rsidRPr="009574C4">
              <w:rPr>
                <w:sz w:val="24"/>
                <w:szCs w:val="24"/>
              </w:rPr>
              <w:t xml:space="preserve">, lai nodrošinātu kompleksu pakalpojumu ambulatorajā nodaļā, dienas stacionārā, pēc insulta pacientiem neiroloģijas un paliatīvajā aprūpē, ietverot </w:t>
            </w:r>
            <w:proofErr w:type="spellStart"/>
            <w:r w:rsidR="00505474" w:rsidRPr="009574C4">
              <w:rPr>
                <w:sz w:val="24"/>
                <w:szCs w:val="24"/>
              </w:rPr>
              <w:t>multifunkcionālu</w:t>
            </w:r>
            <w:proofErr w:type="spellEnd"/>
            <w:r w:rsidR="00505474" w:rsidRPr="009574C4">
              <w:rPr>
                <w:sz w:val="24"/>
                <w:szCs w:val="24"/>
              </w:rPr>
              <w:t xml:space="preserve"> komandu (t.sk. logopēds, </w:t>
            </w:r>
            <w:proofErr w:type="spellStart"/>
            <w:r w:rsidR="00505474" w:rsidRPr="009574C4">
              <w:rPr>
                <w:sz w:val="24"/>
                <w:szCs w:val="24"/>
              </w:rPr>
              <w:t>energoterapeits</w:t>
            </w:r>
            <w:proofErr w:type="spellEnd"/>
            <w:r w:rsidR="00505474" w:rsidRPr="009574C4">
              <w:rPr>
                <w:sz w:val="24"/>
                <w:szCs w:val="24"/>
              </w:rPr>
              <w:t xml:space="preserve">, fizioterapeits, </w:t>
            </w:r>
            <w:proofErr w:type="spellStart"/>
            <w:r w:rsidR="00505474" w:rsidRPr="009574C4">
              <w:rPr>
                <w:sz w:val="24"/>
                <w:szCs w:val="24"/>
              </w:rPr>
              <w:t>rehabilitologs</w:t>
            </w:r>
            <w:proofErr w:type="spellEnd"/>
            <w:r w:rsidR="00505474" w:rsidRPr="009574C4">
              <w:rPr>
                <w:sz w:val="24"/>
                <w:szCs w:val="24"/>
              </w:rPr>
              <w:t>, psihologs u.c.).</w:t>
            </w:r>
          </w:p>
        </w:tc>
        <w:tc>
          <w:tcPr>
            <w:tcW w:w="2551" w:type="dxa"/>
            <w:vAlign w:val="center"/>
          </w:tcPr>
          <w:p w14:paraId="55673ABB" w14:textId="77777777" w:rsidR="001A0F3B" w:rsidRDefault="00A2050F" w:rsidP="00256B7C">
            <w:pPr>
              <w:ind w:firstLine="0"/>
            </w:pPr>
            <w:r>
              <w:t>Izveidot papildus telpas pakalpojuma sniegšanai</w:t>
            </w:r>
          </w:p>
        </w:tc>
        <w:tc>
          <w:tcPr>
            <w:tcW w:w="2835" w:type="dxa"/>
            <w:vAlign w:val="center"/>
          </w:tcPr>
          <w:p w14:paraId="7444EB07" w14:textId="77777777" w:rsidR="001075EC" w:rsidRDefault="001075EC" w:rsidP="00256B7C">
            <w:pPr>
              <w:ind w:firstLine="0"/>
            </w:pPr>
            <w:r>
              <w:t>Ir izveidota jauna rehabilitācijas telpa.</w:t>
            </w:r>
          </w:p>
          <w:p w14:paraId="12F9563E" w14:textId="77777777" w:rsidR="001075EC" w:rsidRDefault="001075EC" w:rsidP="00256B7C">
            <w:pPr>
              <w:ind w:firstLine="0"/>
            </w:pPr>
            <w:r>
              <w:t>Aprīkota telpa jaundzimušo (zīdaiņu) rehabilitācijas pasākumu veikšanai.</w:t>
            </w:r>
          </w:p>
          <w:p w14:paraId="026E552E" w14:textId="77777777" w:rsidR="001075EC" w:rsidRDefault="001075EC" w:rsidP="00256B7C">
            <w:pPr>
              <w:ind w:firstLine="0"/>
            </w:pPr>
            <w:r>
              <w:t>Rehabilitācijas kab. aprīkoti ar nodarbībām nepieciešamajiem spoguļiem, speciālajiem paklājiem, iegādāti līdzsvara spilveni un hanteles</w:t>
            </w:r>
          </w:p>
          <w:p w14:paraId="5DC67238" w14:textId="4B79C49C" w:rsidR="001A0F3B" w:rsidRDefault="001A0F3B" w:rsidP="00256B7C">
            <w:pPr>
              <w:ind w:firstLine="0"/>
            </w:pPr>
          </w:p>
        </w:tc>
        <w:tc>
          <w:tcPr>
            <w:tcW w:w="2569" w:type="dxa"/>
            <w:vAlign w:val="center"/>
          </w:tcPr>
          <w:p w14:paraId="2118A424" w14:textId="77777777" w:rsidR="001A0F3B" w:rsidRDefault="001A0F3B" w:rsidP="00256B7C">
            <w:pPr>
              <w:ind w:firstLine="0"/>
            </w:pPr>
          </w:p>
        </w:tc>
      </w:tr>
      <w:tr w:rsidR="0001088F" w14:paraId="7653CDE2" w14:textId="77777777" w:rsidTr="00CC0449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2D046EFB" w14:textId="77777777" w:rsidR="001A0F3B" w:rsidRDefault="00437B2B" w:rsidP="00256B7C">
            <w:pPr>
              <w:ind w:firstLine="0"/>
            </w:pPr>
            <w:r>
              <w:t>8</w:t>
            </w:r>
            <w:r w:rsidR="006750F0">
              <w:t>.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E224E01" w14:textId="77777777" w:rsidR="001A0F3B" w:rsidRPr="0023160A" w:rsidRDefault="004A158B" w:rsidP="00256B7C">
            <w:pPr>
              <w:ind w:firstLine="0"/>
              <w:rPr>
                <w:b/>
              </w:rPr>
            </w:pPr>
            <w:r w:rsidRPr="0023160A">
              <w:rPr>
                <w:b/>
              </w:rPr>
              <w:t>Oftalmoloģijas attīstība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25174665" w14:textId="64176AD8" w:rsidR="003F3DA5" w:rsidRDefault="00B80606" w:rsidP="00256B7C">
            <w:pPr>
              <w:ind w:firstLine="0"/>
            </w:pPr>
            <w:r>
              <w:rPr>
                <w:szCs w:val="24"/>
              </w:rPr>
              <w:t>I</w:t>
            </w:r>
            <w:r w:rsidRPr="00A927D7">
              <w:rPr>
                <w:szCs w:val="24"/>
              </w:rPr>
              <w:t>zveidot</w:t>
            </w:r>
            <w:r w:rsidRPr="009574C4">
              <w:rPr>
                <w:szCs w:val="24"/>
              </w:rPr>
              <w:t xml:space="preserve"> </w:t>
            </w:r>
            <w:r w:rsidRPr="00A927D7">
              <w:rPr>
                <w:szCs w:val="24"/>
              </w:rPr>
              <w:t xml:space="preserve">ķirurģisko </w:t>
            </w:r>
            <w:proofErr w:type="spellStart"/>
            <w:r w:rsidRPr="00A927D7">
              <w:rPr>
                <w:szCs w:val="24"/>
              </w:rPr>
              <w:t>oftalmoloģisko</w:t>
            </w:r>
            <w:proofErr w:type="spellEnd"/>
            <w:r w:rsidRPr="00A927D7">
              <w:rPr>
                <w:szCs w:val="24"/>
              </w:rPr>
              <w:t xml:space="preserve"> pakalpojumu sniegšanu, iegādājoties nepieciešamo aprīkoju</w:t>
            </w:r>
            <w:r w:rsidR="00CC0449">
              <w:rPr>
                <w:szCs w:val="24"/>
              </w:rPr>
              <w:t>mu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F455DB" w14:textId="77777777" w:rsidR="001A0F3B" w:rsidRDefault="001A0F3B" w:rsidP="00256B7C">
            <w:pPr>
              <w:ind w:firstLine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FF06FD6" w14:textId="30C49310" w:rsidR="00A2050F" w:rsidRDefault="00CC0449" w:rsidP="00256B7C">
            <w:pPr>
              <w:ind w:firstLine="0"/>
            </w:pPr>
            <w:r>
              <w:t>Pakalpojums pieejams dienas stacionārā</w:t>
            </w:r>
          </w:p>
        </w:tc>
        <w:tc>
          <w:tcPr>
            <w:tcW w:w="2569" w:type="dxa"/>
            <w:shd w:val="clear" w:color="auto" w:fill="auto"/>
            <w:vAlign w:val="center"/>
          </w:tcPr>
          <w:p w14:paraId="15FF184C" w14:textId="004A8C0E" w:rsidR="001A0F3B" w:rsidRDefault="001A0F3B" w:rsidP="00256B7C">
            <w:pPr>
              <w:ind w:firstLine="0"/>
            </w:pPr>
          </w:p>
        </w:tc>
      </w:tr>
      <w:tr w:rsidR="0001088F" w14:paraId="5C89AB41" w14:textId="77777777" w:rsidTr="00890986">
        <w:trPr>
          <w:tblHeader/>
          <w:jc w:val="center"/>
        </w:trPr>
        <w:tc>
          <w:tcPr>
            <w:tcW w:w="675" w:type="dxa"/>
            <w:vAlign w:val="center"/>
          </w:tcPr>
          <w:p w14:paraId="080E52BD" w14:textId="77777777" w:rsidR="00B454AE" w:rsidRDefault="006750F0" w:rsidP="00256B7C">
            <w:pPr>
              <w:ind w:firstLine="0"/>
            </w:pPr>
            <w:r>
              <w:lastRenderedPageBreak/>
              <w:t>9.</w:t>
            </w:r>
          </w:p>
        </w:tc>
        <w:tc>
          <w:tcPr>
            <w:tcW w:w="2553" w:type="dxa"/>
            <w:vAlign w:val="center"/>
          </w:tcPr>
          <w:p w14:paraId="2888C50C" w14:textId="77777777" w:rsidR="00B454AE" w:rsidRPr="00A2050F" w:rsidRDefault="00B454AE" w:rsidP="00256B7C">
            <w:pPr>
              <w:ind w:firstLine="0"/>
              <w:rPr>
                <w:b/>
              </w:rPr>
            </w:pPr>
            <w:r w:rsidRPr="00A2050F">
              <w:rPr>
                <w:b/>
              </w:rPr>
              <w:t>Laboratorija</w:t>
            </w:r>
          </w:p>
        </w:tc>
        <w:tc>
          <w:tcPr>
            <w:tcW w:w="3401" w:type="dxa"/>
            <w:vAlign w:val="center"/>
          </w:tcPr>
          <w:p w14:paraId="21FC3387" w14:textId="77777777" w:rsidR="00B454AE" w:rsidRDefault="00CB1281" w:rsidP="00256B7C">
            <w:pPr>
              <w:ind w:firstLine="0"/>
            </w:pPr>
            <w:r>
              <w:t>Uzlabot kvalitāti</w:t>
            </w:r>
          </w:p>
        </w:tc>
        <w:tc>
          <w:tcPr>
            <w:tcW w:w="2551" w:type="dxa"/>
            <w:vAlign w:val="center"/>
          </w:tcPr>
          <w:p w14:paraId="63519789" w14:textId="77777777" w:rsidR="00B454AE" w:rsidRDefault="00CB1281" w:rsidP="00256B7C">
            <w:pPr>
              <w:ind w:firstLine="0"/>
            </w:pPr>
            <w:r>
              <w:t>Laboratorijas akreditācija</w:t>
            </w:r>
          </w:p>
        </w:tc>
        <w:tc>
          <w:tcPr>
            <w:tcW w:w="2835" w:type="dxa"/>
            <w:vAlign w:val="center"/>
          </w:tcPr>
          <w:p w14:paraId="4C2F4646" w14:textId="77777777" w:rsidR="00B454AE" w:rsidRDefault="00CB1281" w:rsidP="00256B7C">
            <w:pPr>
              <w:ind w:firstLine="0"/>
            </w:pPr>
            <w:r>
              <w:t>Veikta laboratorijas akreditācija, turpinās uzraudzība</w:t>
            </w:r>
          </w:p>
        </w:tc>
        <w:tc>
          <w:tcPr>
            <w:tcW w:w="2569" w:type="dxa"/>
            <w:vAlign w:val="center"/>
          </w:tcPr>
          <w:p w14:paraId="4CA7CDA9" w14:textId="77777777" w:rsidR="00B454AE" w:rsidRDefault="00B454AE" w:rsidP="00256B7C">
            <w:pPr>
              <w:ind w:firstLine="0"/>
            </w:pPr>
          </w:p>
        </w:tc>
      </w:tr>
      <w:tr w:rsidR="0001088F" w14:paraId="4AA1962D" w14:textId="77777777" w:rsidTr="00890986">
        <w:trPr>
          <w:tblHeader/>
          <w:jc w:val="center"/>
        </w:trPr>
        <w:tc>
          <w:tcPr>
            <w:tcW w:w="675" w:type="dxa"/>
            <w:vAlign w:val="center"/>
          </w:tcPr>
          <w:p w14:paraId="287BB4CE" w14:textId="77777777" w:rsidR="00B454AE" w:rsidRDefault="006750F0" w:rsidP="00256B7C">
            <w:pPr>
              <w:ind w:firstLine="0"/>
            </w:pPr>
            <w:r>
              <w:t>10.</w:t>
            </w:r>
          </w:p>
        </w:tc>
        <w:tc>
          <w:tcPr>
            <w:tcW w:w="2553" w:type="dxa"/>
            <w:vAlign w:val="center"/>
          </w:tcPr>
          <w:p w14:paraId="2CD414A9" w14:textId="77777777" w:rsidR="00B454AE" w:rsidRPr="00CB1281" w:rsidRDefault="00D868EF" w:rsidP="00256B7C">
            <w:pPr>
              <w:ind w:firstLine="0"/>
              <w:rPr>
                <w:b/>
              </w:rPr>
            </w:pPr>
            <w:r w:rsidRPr="00CB1281">
              <w:rPr>
                <w:b/>
              </w:rPr>
              <w:t xml:space="preserve">Saimnieciskā </w:t>
            </w:r>
            <w:r w:rsidR="009A6DE4" w:rsidRPr="00CB1281">
              <w:rPr>
                <w:b/>
              </w:rPr>
              <w:t>darba uzlabošana</w:t>
            </w:r>
          </w:p>
        </w:tc>
        <w:tc>
          <w:tcPr>
            <w:tcW w:w="3401" w:type="dxa"/>
            <w:vAlign w:val="center"/>
          </w:tcPr>
          <w:p w14:paraId="5F29585B" w14:textId="77777777" w:rsidR="00B454AE" w:rsidRDefault="009A6DE4" w:rsidP="00256B7C">
            <w:pPr>
              <w:ind w:firstLine="0"/>
            </w:pPr>
            <w:r>
              <w:t>Apsaimniekošanas izdevumu samazināšana, uzlabojot apsaimniekošanas efektivitāti</w:t>
            </w:r>
          </w:p>
        </w:tc>
        <w:tc>
          <w:tcPr>
            <w:tcW w:w="2551" w:type="dxa"/>
            <w:vAlign w:val="center"/>
          </w:tcPr>
          <w:p w14:paraId="502F8767" w14:textId="77777777" w:rsidR="00B454AE" w:rsidRDefault="009A6DE4" w:rsidP="00256B7C">
            <w:pPr>
              <w:ind w:firstLine="0"/>
            </w:pPr>
            <w:r>
              <w:t>Pirmā apkures sezona ar jaunajiem šķeldas katliem</w:t>
            </w:r>
          </w:p>
        </w:tc>
        <w:tc>
          <w:tcPr>
            <w:tcW w:w="2835" w:type="dxa"/>
            <w:vAlign w:val="center"/>
          </w:tcPr>
          <w:p w14:paraId="4A6A6D48" w14:textId="77777777" w:rsidR="00B454AE" w:rsidRDefault="00CB1281" w:rsidP="00256B7C">
            <w:pPr>
              <w:ind w:firstLine="0"/>
            </w:pPr>
            <w:r>
              <w:t>Izpildīts</w:t>
            </w:r>
          </w:p>
        </w:tc>
        <w:tc>
          <w:tcPr>
            <w:tcW w:w="2569" w:type="dxa"/>
            <w:vAlign w:val="center"/>
          </w:tcPr>
          <w:p w14:paraId="6FEF4E73" w14:textId="77777777" w:rsidR="00B454AE" w:rsidRDefault="00B454AE" w:rsidP="00256B7C">
            <w:pPr>
              <w:ind w:firstLine="0"/>
            </w:pPr>
          </w:p>
        </w:tc>
      </w:tr>
      <w:tr w:rsidR="0001088F" w14:paraId="6C402FFE" w14:textId="77777777" w:rsidTr="00890986">
        <w:trPr>
          <w:tblHeader/>
          <w:jc w:val="center"/>
        </w:trPr>
        <w:tc>
          <w:tcPr>
            <w:tcW w:w="675" w:type="dxa"/>
            <w:vAlign w:val="center"/>
          </w:tcPr>
          <w:p w14:paraId="340B14B0" w14:textId="77777777" w:rsidR="001A0F3B" w:rsidRDefault="001A0F3B" w:rsidP="00256B7C">
            <w:pPr>
              <w:ind w:firstLine="0"/>
            </w:pPr>
          </w:p>
        </w:tc>
        <w:tc>
          <w:tcPr>
            <w:tcW w:w="2553" w:type="dxa"/>
            <w:vAlign w:val="center"/>
          </w:tcPr>
          <w:p w14:paraId="282583B3" w14:textId="77777777" w:rsidR="001A0F3B" w:rsidRDefault="001A0F3B" w:rsidP="00256B7C">
            <w:pPr>
              <w:ind w:firstLine="0"/>
            </w:pPr>
          </w:p>
        </w:tc>
        <w:tc>
          <w:tcPr>
            <w:tcW w:w="3401" w:type="dxa"/>
            <w:vAlign w:val="center"/>
          </w:tcPr>
          <w:p w14:paraId="423A22C0" w14:textId="77777777" w:rsidR="001A0F3B" w:rsidRDefault="001A0F3B" w:rsidP="00256B7C">
            <w:pPr>
              <w:ind w:firstLine="0"/>
            </w:pPr>
          </w:p>
        </w:tc>
        <w:tc>
          <w:tcPr>
            <w:tcW w:w="2551" w:type="dxa"/>
            <w:vAlign w:val="center"/>
          </w:tcPr>
          <w:p w14:paraId="4B53E67B" w14:textId="77777777" w:rsidR="007F5351" w:rsidRDefault="007F5351" w:rsidP="00256B7C">
            <w:pPr>
              <w:ind w:firstLine="0"/>
            </w:pPr>
            <w:r>
              <w:t>Brīvo telpu iznomāša</w:t>
            </w:r>
            <w:r w:rsidR="009A6DE4">
              <w:t>n</w:t>
            </w:r>
            <w:r>
              <w:t>a medicīnisko pakalpojumu sniegšanai.</w:t>
            </w:r>
          </w:p>
        </w:tc>
        <w:tc>
          <w:tcPr>
            <w:tcW w:w="2835" w:type="dxa"/>
            <w:vAlign w:val="center"/>
          </w:tcPr>
          <w:p w14:paraId="6CBDE881" w14:textId="77777777" w:rsidR="001A0F3B" w:rsidRDefault="00CB1281" w:rsidP="00256B7C">
            <w:pPr>
              <w:ind w:firstLine="0"/>
            </w:pPr>
            <w:r>
              <w:t>Izpildīts</w:t>
            </w:r>
          </w:p>
        </w:tc>
        <w:tc>
          <w:tcPr>
            <w:tcW w:w="2569" w:type="dxa"/>
            <w:vAlign w:val="center"/>
          </w:tcPr>
          <w:p w14:paraId="4C8D8550" w14:textId="77777777" w:rsidR="001A0F3B" w:rsidRDefault="001A0F3B" w:rsidP="00256B7C">
            <w:pPr>
              <w:ind w:firstLine="0"/>
            </w:pPr>
          </w:p>
        </w:tc>
      </w:tr>
      <w:tr w:rsidR="0001088F" w14:paraId="3F5A5D83" w14:textId="77777777" w:rsidTr="00890986">
        <w:trPr>
          <w:tblHeader/>
          <w:jc w:val="center"/>
        </w:trPr>
        <w:tc>
          <w:tcPr>
            <w:tcW w:w="675" w:type="dxa"/>
            <w:vAlign w:val="center"/>
          </w:tcPr>
          <w:p w14:paraId="757E0C9F" w14:textId="77777777" w:rsidR="001A0F3B" w:rsidRDefault="001A0F3B" w:rsidP="00256B7C">
            <w:pPr>
              <w:ind w:firstLine="0"/>
            </w:pPr>
          </w:p>
        </w:tc>
        <w:tc>
          <w:tcPr>
            <w:tcW w:w="2553" w:type="dxa"/>
            <w:vAlign w:val="center"/>
          </w:tcPr>
          <w:p w14:paraId="7FB71895" w14:textId="77777777" w:rsidR="001A0F3B" w:rsidRDefault="001A0F3B" w:rsidP="00256B7C">
            <w:pPr>
              <w:ind w:firstLine="0"/>
            </w:pPr>
          </w:p>
        </w:tc>
        <w:tc>
          <w:tcPr>
            <w:tcW w:w="3401" w:type="dxa"/>
            <w:vAlign w:val="center"/>
          </w:tcPr>
          <w:p w14:paraId="2E3710D4" w14:textId="77777777" w:rsidR="001A0F3B" w:rsidRDefault="001A0F3B" w:rsidP="00256B7C">
            <w:pPr>
              <w:ind w:firstLine="0"/>
            </w:pPr>
          </w:p>
        </w:tc>
        <w:tc>
          <w:tcPr>
            <w:tcW w:w="2551" w:type="dxa"/>
            <w:vAlign w:val="center"/>
          </w:tcPr>
          <w:p w14:paraId="118D62DF" w14:textId="77777777" w:rsidR="001A0F3B" w:rsidRDefault="007B7025" w:rsidP="00256B7C">
            <w:pPr>
              <w:ind w:firstLine="0"/>
            </w:pPr>
            <w:r>
              <w:t xml:space="preserve">Sadarbība ar SIA „Vizuālā diagnostika” iznomāta </w:t>
            </w:r>
            <w:r w:rsidR="00394A3A">
              <w:t>zeme, uz kuras</w:t>
            </w:r>
            <w:r>
              <w:t xml:space="preserve"> ir izvietota ēka, labāka pieejamība magnētiskās diagnostikas pakalpojumiem.</w:t>
            </w:r>
          </w:p>
        </w:tc>
        <w:tc>
          <w:tcPr>
            <w:tcW w:w="2835" w:type="dxa"/>
            <w:vAlign w:val="center"/>
          </w:tcPr>
          <w:p w14:paraId="7816ADEB" w14:textId="77777777" w:rsidR="001A0F3B" w:rsidRDefault="00CB1281" w:rsidP="00256B7C">
            <w:pPr>
              <w:ind w:firstLine="0"/>
            </w:pPr>
            <w:r>
              <w:t>Izpildīts</w:t>
            </w:r>
          </w:p>
        </w:tc>
        <w:tc>
          <w:tcPr>
            <w:tcW w:w="2569" w:type="dxa"/>
            <w:vAlign w:val="center"/>
          </w:tcPr>
          <w:p w14:paraId="191B1752" w14:textId="77777777" w:rsidR="001A0F3B" w:rsidRDefault="001A0F3B" w:rsidP="00256B7C">
            <w:pPr>
              <w:ind w:firstLine="0"/>
            </w:pPr>
          </w:p>
        </w:tc>
      </w:tr>
      <w:tr w:rsidR="0001088F" w14:paraId="6826197D" w14:textId="77777777" w:rsidTr="00890986">
        <w:trPr>
          <w:tblHeader/>
          <w:jc w:val="center"/>
        </w:trPr>
        <w:tc>
          <w:tcPr>
            <w:tcW w:w="675" w:type="dxa"/>
            <w:vAlign w:val="center"/>
          </w:tcPr>
          <w:p w14:paraId="08C23153" w14:textId="77777777" w:rsidR="007B7025" w:rsidRDefault="007B7025" w:rsidP="00256B7C">
            <w:pPr>
              <w:ind w:firstLine="0"/>
            </w:pPr>
          </w:p>
        </w:tc>
        <w:tc>
          <w:tcPr>
            <w:tcW w:w="2553" w:type="dxa"/>
            <w:vAlign w:val="center"/>
          </w:tcPr>
          <w:p w14:paraId="1CEB029D" w14:textId="77777777" w:rsidR="007B7025" w:rsidRDefault="007B7025" w:rsidP="00256B7C">
            <w:pPr>
              <w:ind w:firstLine="0"/>
            </w:pPr>
          </w:p>
        </w:tc>
        <w:tc>
          <w:tcPr>
            <w:tcW w:w="3401" w:type="dxa"/>
            <w:vAlign w:val="center"/>
          </w:tcPr>
          <w:p w14:paraId="7ED0031E" w14:textId="77777777" w:rsidR="007B7025" w:rsidRDefault="007B7025" w:rsidP="00256B7C">
            <w:pPr>
              <w:ind w:firstLine="0"/>
            </w:pPr>
          </w:p>
        </w:tc>
        <w:tc>
          <w:tcPr>
            <w:tcW w:w="2551" w:type="dxa"/>
            <w:vAlign w:val="center"/>
          </w:tcPr>
          <w:p w14:paraId="0D149E0C" w14:textId="77777777" w:rsidR="007B7025" w:rsidRDefault="007B7025" w:rsidP="00256B7C">
            <w:pPr>
              <w:ind w:firstLine="0"/>
            </w:pPr>
            <w:r>
              <w:t>Turpinās sadarbība ar NMPD ir iznomātas telpas</w:t>
            </w:r>
          </w:p>
        </w:tc>
        <w:tc>
          <w:tcPr>
            <w:tcW w:w="2835" w:type="dxa"/>
            <w:vAlign w:val="center"/>
          </w:tcPr>
          <w:p w14:paraId="6AFFE77B" w14:textId="77777777" w:rsidR="007B7025" w:rsidRDefault="00CB1281" w:rsidP="00256B7C">
            <w:pPr>
              <w:ind w:firstLine="0"/>
            </w:pPr>
            <w:r>
              <w:t>Izpildīts</w:t>
            </w:r>
          </w:p>
        </w:tc>
        <w:tc>
          <w:tcPr>
            <w:tcW w:w="2569" w:type="dxa"/>
            <w:vAlign w:val="center"/>
          </w:tcPr>
          <w:p w14:paraId="76605191" w14:textId="77777777" w:rsidR="007B7025" w:rsidRDefault="007B7025" w:rsidP="00256B7C">
            <w:pPr>
              <w:ind w:firstLine="0"/>
            </w:pPr>
          </w:p>
        </w:tc>
      </w:tr>
      <w:tr w:rsidR="0001088F" w14:paraId="5432F0C8" w14:textId="77777777" w:rsidTr="00890986">
        <w:trPr>
          <w:tblHeader/>
          <w:jc w:val="center"/>
        </w:trPr>
        <w:tc>
          <w:tcPr>
            <w:tcW w:w="675" w:type="dxa"/>
            <w:vAlign w:val="center"/>
          </w:tcPr>
          <w:p w14:paraId="18ACCD51" w14:textId="77777777" w:rsidR="007B7025" w:rsidRDefault="007B7025" w:rsidP="00256B7C">
            <w:pPr>
              <w:ind w:firstLine="0"/>
            </w:pPr>
          </w:p>
        </w:tc>
        <w:tc>
          <w:tcPr>
            <w:tcW w:w="2553" w:type="dxa"/>
            <w:vAlign w:val="center"/>
          </w:tcPr>
          <w:p w14:paraId="384D6E66" w14:textId="77777777" w:rsidR="007B7025" w:rsidRDefault="007B7025" w:rsidP="00256B7C">
            <w:pPr>
              <w:ind w:firstLine="0"/>
            </w:pPr>
          </w:p>
        </w:tc>
        <w:tc>
          <w:tcPr>
            <w:tcW w:w="3401" w:type="dxa"/>
            <w:vAlign w:val="center"/>
          </w:tcPr>
          <w:p w14:paraId="0D910DF5" w14:textId="77777777" w:rsidR="007B7025" w:rsidRDefault="00006298" w:rsidP="00256B7C">
            <w:pPr>
              <w:ind w:firstLine="0"/>
            </w:pPr>
            <w:r>
              <w:t>Īpašuma uzturēšana piesaistot ES fondu līdzekļus</w:t>
            </w:r>
          </w:p>
        </w:tc>
        <w:tc>
          <w:tcPr>
            <w:tcW w:w="2551" w:type="dxa"/>
            <w:vAlign w:val="center"/>
          </w:tcPr>
          <w:p w14:paraId="10D12DBF" w14:textId="77777777" w:rsidR="007B7025" w:rsidRDefault="007B7025" w:rsidP="00256B7C">
            <w:pPr>
              <w:ind w:firstLine="0"/>
            </w:pPr>
            <w:r>
              <w:t xml:space="preserve">ERAF projekta ietvaros izremontētas telpas, kuras iznomātas ģimenes ārstu praksēm, nodrošinot iedzīvotājiem labāku pakalpojuma pieejamību, (vienā </w:t>
            </w:r>
            <w:r w:rsidR="00006298">
              <w:t>adresē</w:t>
            </w:r>
            <w:r>
              <w:t>)</w:t>
            </w:r>
            <w:r w:rsidR="00006298">
              <w:t xml:space="preserve"> </w:t>
            </w:r>
            <w:r>
              <w:t>vienkopus</w:t>
            </w:r>
          </w:p>
        </w:tc>
        <w:tc>
          <w:tcPr>
            <w:tcW w:w="2835" w:type="dxa"/>
            <w:vAlign w:val="center"/>
          </w:tcPr>
          <w:p w14:paraId="43D4C5A3" w14:textId="77777777" w:rsidR="007B7025" w:rsidRDefault="00CB1281" w:rsidP="00256B7C">
            <w:pPr>
              <w:ind w:firstLine="0"/>
            </w:pPr>
            <w:r>
              <w:t>Izpildīts</w:t>
            </w:r>
          </w:p>
        </w:tc>
        <w:tc>
          <w:tcPr>
            <w:tcW w:w="2569" w:type="dxa"/>
            <w:vAlign w:val="center"/>
          </w:tcPr>
          <w:p w14:paraId="54AEE278" w14:textId="77777777" w:rsidR="007B7025" w:rsidRDefault="007B7025" w:rsidP="00256B7C">
            <w:pPr>
              <w:ind w:firstLine="0"/>
            </w:pPr>
          </w:p>
        </w:tc>
      </w:tr>
      <w:tr w:rsidR="00F417E9" w14:paraId="7AD61FD0" w14:textId="77777777" w:rsidTr="00CC0449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D1C9C06" w14:textId="7E75E6E6" w:rsidR="00F417E9" w:rsidRDefault="00F417E9" w:rsidP="00256B7C">
            <w:pPr>
              <w:ind w:firstLine="0"/>
            </w:pPr>
            <w:r>
              <w:t>11.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D9A7EBF" w14:textId="74EAC6CF" w:rsidR="00F417E9" w:rsidRDefault="00F417E9" w:rsidP="00256B7C">
            <w:pPr>
              <w:ind w:firstLine="0"/>
            </w:pPr>
            <w:r w:rsidRPr="00C20794">
              <w:rPr>
                <w:szCs w:val="24"/>
              </w:rPr>
              <w:t>Investīciju plāns 201</w:t>
            </w:r>
            <w:r>
              <w:rPr>
                <w:szCs w:val="24"/>
              </w:rPr>
              <w:t>9</w:t>
            </w:r>
            <w:r w:rsidRPr="00C20794">
              <w:rPr>
                <w:szCs w:val="24"/>
              </w:rPr>
              <w:t>.gadam.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2AFD6D3C" w14:textId="38AF44F2" w:rsidR="00F417E9" w:rsidRDefault="00F417E9" w:rsidP="00256B7C">
            <w:pPr>
              <w:ind w:firstLine="0"/>
            </w:pPr>
            <w:r w:rsidRPr="00C20794">
              <w:rPr>
                <w:szCs w:val="24"/>
              </w:rPr>
              <w:t>ERAF līdzekļu piesaiste –</w:t>
            </w:r>
            <w:r>
              <w:rPr>
                <w:szCs w:val="24"/>
              </w:rPr>
              <w:t xml:space="preserve"> </w:t>
            </w:r>
            <w:r w:rsidRPr="00C20794">
              <w:rPr>
                <w:szCs w:val="24"/>
              </w:rPr>
              <w:t>plānošana, projekti, tāmes 2016-2019.gadam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545669" w14:textId="77777777" w:rsidR="00F417E9" w:rsidRDefault="00F417E9" w:rsidP="00256B7C">
            <w:pPr>
              <w:ind w:firstLine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983DC26" w14:textId="61C9FE53" w:rsidR="00F417E9" w:rsidRDefault="008D6F88" w:rsidP="00256B7C">
            <w:pPr>
              <w:ind w:firstLine="0"/>
            </w:pPr>
            <w:r>
              <w:t>Projekts tiks īstenots līdz 2023.gadam</w:t>
            </w:r>
          </w:p>
        </w:tc>
        <w:tc>
          <w:tcPr>
            <w:tcW w:w="2569" w:type="dxa"/>
            <w:shd w:val="clear" w:color="auto" w:fill="auto"/>
            <w:vAlign w:val="center"/>
          </w:tcPr>
          <w:p w14:paraId="32A18E20" w14:textId="185BE3E1" w:rsidR="00F417E9" w:rsidRDefault="00CC0449" w:rsidP="00256B7C">
            <w:pPr>
              <w:ind w:firstLine="0"/>
            </w:pPr>
            <w:r w:rsidRPr="00C20794">
              <w:rPr>
                <w:szCs w:val="24"/>
              </w:rPr>
              <w:t>ERAF</w:t>
            </w:r>
            <w:r>
              <w:rPr>
                <w:szCs w:val="24"/>
              </w:rPr>
              <w:t xml:space="preserve"> projekts un tāme ir  apstiprināti,</w:t>
            </w:r>
            <w:r w:rsidR="00217313">
              <w:rPr>
                <w:szCs w:val="24"/>
              </w:rPr>
              <w:t xml:space="preserve"> daļ</w:t>
            </w:r>
            <w:r w:rsidR="008D6F88">
              <w:rPr>
                <w:szCs w:val="24"/>
              </w:rPr>
              <w:t xml:space="preserve">a no iekārtām ir </w:t>
            </w:r>
            <w:r w:rsidR="00217313">
              <w:rPr>
                <w:szCs w:val="24"/>
              </w:rPr>
              <w:t xml:space="preserve"> iegādātas</w:t>
            </w:r>
            <w:r w:rsidR="008D6F88">
              <w:rPr>
                <w:szCs w:val="24"/>
              </w:rPr>
              <w:t>,</w:t>
            </w:r>
            <w:r>
              <w:rPr>
                <w:szCs w:val="24"/>
              </w:rPr>
              <w:t xml:space="preserve"> tiks uzsākta būvniecība</w:t>
            </w:r>
          </w:p>
        </w:tc>
      </w:tr>
      <w:bookmarkEnd w:id="2"/>
    </w:tbl>
    <w:p w14:paraId="414C04AB" w14:textId="77777777" w:rsidR="006A1F24" w:rsidRDefault="006A1F24" w:rsidP="00256B7C"/>
    <w:p w14:paraId="1C5BF010" w14:textId="77777777" w:rsidR="00E923CA" w:rsidRDefault="00E923CA" w:rsidP="00256B7C">
      <w:pPr>
        <w:rPr>
          <w:b/>
        </w:rPr>
      </w:pPr>
    </w:p>
    <w:p w14:paraId="0E15446C" w14:textId="77777777" w:rsidR="00E923CA" w:rsidRDefault="00E923CA" w:rsidP="00256B7C">
      <w:pPr>
        <w:rPr>
          <w:b/>
        </w:rPr>
      </w:pPr>
    </w:p>
    <w:p w14:paraId="60EE95F6" w14:textId="77777777" w:rsidR="00EB62EA" w:rsidRDefault="00EB62EA" w:rsidP="00256B7C"/>
    <w:p w14:paraId="3BFBD715" w14:textId="77777777" w:rsidR="00236937" w:rsidRDefault="00236937">
      <w:pPr>
        <w:spacing w:after="200" w:line="276" w:lineRule="auto"/>
        <w:ind w:firstLine="0"/>
        <w:jc w:val="left"/>
        <w:sectPr w:rsidR="00236937" w:rsidSect="00112EA3">
          <w:footerReference w:type="default" r:id="rId8"/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14:paraId="47771CDE" w14:textId="77777777" w:rsidR="00151F1D" w:rsidRDefault="00151F1D" w:rsidP="00151F1D">
      <w:pPr>
        <w:ind w:firstLine="0"/>
        <w:jc w:val="right"/>
      </w:pPr>
      <w:r>
        <w:lastRenderedPageBreak/>
        <w:t xml:space="preserve">1.pielikums </w:t>
      </w:r>
    </w:p>
    <w:p w14:paraId="3F9B3B21" w14:textId="5658023C" w:rsidR="00151F1D" w:rsidRPr="00C7356D" w:rsidRDefault="00151F1D" w:rsidP="00236937">
      <w:pPr>
        <w:spacing w:after="240"/>
        <w:jc w:val="center"/>
        <w:outlineLvl w:val="0"/>
        <w:rPr>
          <w:b/>
          <w:bCs/>
        </w:rPr>
      </w:pPr>
      <w:r w:rsidRPr="00C7356D">
        <w:rPr>
          <w:b/>
          <w:bCs/>
        </w:rPr>
        <w:t>Ambulatorais darbs</w:t>
      </w:r>
      <w:r>
        <w:rPr>
          <w:b/>
          <w:bCs/>
        </w:rPr>
        <w:t xml:space="preserve"> laika periodā no 201</w:t>
      </w:r>
      <w:r w:rsidR="0004018B">
        <w:rPr>
          <w:b/>
          <w:bCs/>
        </w:rPr>
        <w:t>5</w:t>
      </w:r>
      <w:r>
        <w:rPr>
          <w:b/>
          <w:bCs/>
        </w:rPr>
        <w:t>.– 201</w:t>
      </w:r>
      <w:r w:rsidR="0004018B">
        <w:rPr>
          <w:b/>
          <w:bCs/>
        </w:rPr>
        <w:t>9</w:t>
      </w:r>
      <w:r>
        <w:rPr>
          <w:b/>
          <w:bCs/>
        </w:rPr>
        <w:t>. gadam</w:t>
      </w:r>
    </w:p>
    <w:p w14:paraId="1B327DA2" w14:textId="77777777" w:rsidR="0004018B" w:rsidRDefault="0004018B" w:rsidP="0004018B">
      <w:pPr>
        <w:pStyle w:val="ListParagraph"/>
        <w:jc w:val="center"/>
        <w:rPr>
          <w:b/>
          <w:sz w:val="28"/>
          <w:szCs w:val="28"/>
        </w:rPr>
      </w:pPr>
      <w:bookmarkStart w:id="3" w:name="OLE_LINK4"/>
      <w:bookmarkStart w:id="4" w:name="OLE_LINK5"/>
      <w:r w:rsidRPr="0041250E">
        <w:rPr>
          <w:b/>
          <w:sz w:val="28"/>
          <w:szCs w:val="28"/>
        </w:rPr>
        <w:t>Ambulatorā darba rādītāji</w:t>
      </w:r>
    </w:p>
    <w:p w14:paraId="7B0A7322" w14:textId="77777777" w:rsidR="0004018B" w:rsidRDefault="0004018B" w:rsidP="0004018B">
      <w:pPr>
        <w:pStyle w:val="ListParagraph"/>
        <w:jc w:val="center"/>
        <w:rPr>
          <w:b/>
          <w:sz w:val="28"/>
          <w:szCs w:val="28"/>
        </w:rPr>
      </w:pPr>
    </w:p>
    <w:p w14:paraId="5AEFE3E6" w14:textId="77777777" w:rsidR="0004018B" w:rsidRDefault="0004018B" w:rsidP="0004018B">
      <w:pPr>
        <w:pStyle w:val="ListParagraph"/>
        <w:jc w:val="center"/>
        <w:rPr>
          <w:b/>
          <w:sz w:val="28"/>
          <w:szCs w:val="28"/>
        </w:rPr>
      </w:pPr>
      <w:r w:rsidRPr="0041250E">
        <w:rPr>
          <w:b/>
          <w:noProof/>
          <w:sz w:val="28"/>
          <w:szCs w:val="28"/>
          <w:lang w:val="en-GB" w:eastAsia="en-GB"/>
        </w:rPr>
        <w:drawing>
          <wp:inline distT="0" distB="0" distL="0" distR="0" wp14:anchorId="2C4653D1" wp14:editId="210A5697">
            <wp:extent cx="5854755" cy="3331597"/>
            <wp:effectExtent l="19050" t="0" r="12645" b="2153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006D4D5" w14:textId="77777777" w:rsidR="0004018B" w:rsidRDefault="0004018B" w:rsidP="0004018B">
      <w:pPr>
        <w:pStyle w:val="ListParagraph"/>
        <w:jc w:val="both"/>
        <w:rPr>
          <w:i/>
        </w:rPr>
      </w:pPr>
    </w:p>
    <w:p w14:paraId="611FC6E5" w14:textId="77777777" w:rsidR="0004018B" w:rsidRDefault="0004018B" w:rsidP="0004018B">
      <w:pPr>
        <w:pStyle w:val="ListParagraph"/>
        <w:jc w:val="both"/>
        <w:rPr>
          <w:i/>
        </w:rPr>
      </w:pPr>
      <w:r w:rsidRPr="0041250E">
        <w:rPr>
          <w:i/>
        </w:rPr>
        <w:t>1.attēls Ambulatoro konsultāciju skaits dinamikā laika periodā no 2015. – 2019.gadam</w:t>
      </w:r>
    </w:p>
    <w:p w14:paraId="1B1E1F07" w14:textId="77777777" w:rsidR="0004018B" w:rsidRDefault="0004018B" w:rsidP="0004018B">
      <w:pPr>
        <w:pStyle w:val="ListParagraph"/>
        <w:jc w:val="both"/>
        <w:rPr>
          <w:i/>
        </w:rPr>
      </w:pPr>
    </w:p>
    <w:p w14:paraId="6D990F3B" w14:textId="77777777" w:rsidR="0004018B" w:rsidRDefault="0004018B" w:rsidP="0004018B">
      <w:pPr>
        <w:pStyle w:val="ListParagraph"/>
        <w:jc w:val="center"/>
        <w:rPr>
          <w:b/>
          <w:sz w:val="28"/>
          <w:szCs w:val="28"/>
        </w:rPr>
      </w:pPr>
    </w:p>
    <w:p w14:paraId="23EA3369" w14:textId="77777777" w:rsidR="0004018B" w:rsidRDefault="0004018B" w:rsidP="0004018B">
      <w:pPr>
        <w:pStyle w:val="ListParagraph"/>
        <w:jc w:val="center"/>
        <w:rPr>
          <w:b/>
          <w:sz w:val="28"/>
          <w:szCs w:val="28"/>
        </w:rPr>
      </w:pPr>
      <w:r w:rsidRPr="00EE1D41">
        <w:rPr>
          <w:b/>
          <w:noProof/>
          <w:sz w:val="28"/>
          <w:szCs w:val="28"/>
          <w:lang w:val="en-GB" w:eastAsia="en-GB"/>
        </w:rPr>
        <w:drawing>
          <wp:inline distT="0" distB="0" distL="0" distR="0" wp14:anchorId="24A89448" wp14:editId="724D552F">
            <wp:extent cx="5628309" cy="3729162"/>
            <wp:effectExtent l="19050" t="0" r="10491" b="4638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AC3090D" w14:textId="77777777" w:rsidR="0004018B" w:rsidRDefault="0004018B" w:rsidP="0004018B">
      <w:pPr>
        <w:pStyle w:val="ListParagraph"/>
        <w:jc w:val="center"/>
        <w:rPr>
          <w:b/>
          <w:sz w:val="28"/>
          <w:szCs w:val="28"/>
        </w:rPr>
      </w:pPr>
    </w:p>
    <w:p w14:paraId="573F239E" w14:textId="77777777" w:rsidR="0004018B" w:rsidRDefault="0004018B" w:rsidP="0004018B">
      <w:pPr>
        <w:pStyle w:val="ListParagraph"/>
        <w:jc w:val="both"/>
        <w:rPr>
          <w:i/>
        </w:rPr>
      </w:pPr>
      <w:r>
        <w:rPr>
          <w:i/>
        </w:rPr>
        <w:t>2</w:t>
      </w:r>
      <w:r w:rsidRPr="0041250E">
        <w:rPr>
          <w:i/>
        </w:rPr>
        <w:t>.attēls Ambulator</w:t>
      </w:r>
      <w:r>
        <w:rPr>
          <w:i/>
        </w:rPr>
        <w:t xml:space="preserve">i veikto manipulāciju </w:t>
      </w:r>
      <w:r w:rsidRPr="0041250E">
        <w:rPr>
          <w:i/>
        </w:rPr>
        <w:t>skaits dinamikā laika periodā no 2015. – 2019.gadam</w:t>
      </w:r>
    </w:p>
    <w:p w14:paraId="476ECCDE" w14:textId="77777777" w:rsidR="002B1A74" w:rsidRDefault="002B1A74" w:rsidP="00BA6804">
      <w:pPr>
        <w:spacing w:after="200" w:line="276" w:lineRule="auto"/>
        <w:ind w:firstLine="0"/>
        <w:jc w:val="right"/>
      </w:pPr>
    </w:p>
    <w:bookmarkEnd w:id="3"/>
    <w:bookmarkEnd w:id="4"/>
    <w:p w14:paraId="1AFC534B" w14:textId="662F0F78" w:rsidR="004B12B1" w:rsidRPr="004B12B1" w:rsidRDefault="004B12B1" w:rsidP="004B12B1">
      <w:pPr>
        <w:pStyle w:val="ListParagraph"/>
        <w:jc w:val="right"/>
        <w:rPr>
          <w:bCs/>
        </w:rPr>
      </w:pPr>
      <w:r w:rsidRPr="004B12B1">
        <w:rPr>
          <w:bCs/>
        </w:rPr>
        <w:lastRenderedPageBreak/>
        <w:t>2.pielikums</w:t>
      </w:r>
    </w:p>
    <w:p w14:paraId="2DFB70C3" w14:textId="62BD80A0" w:rsidR="0004018B" w:rsidRDefault="0004018B" w:rsidP="0004018B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Dienas stacionāra </w:t>
      </w:r>
      <w:r w:rsidRPr="0041250E">
        <w:rPr>
          <w:b/>
          <w:sz w:val="28"/>
          <w:szCs w:val="28"/>
        </w:rPr>
        <w:t>darba rādītāji</w:t>
      </w:r>
    </w:p>
    <w:p w14:paraId="2221A409" w14:textId="50397FE4" w:rsidR="0004018B" w:rsidRDefault="0004018B" w:rsidP="0004018B">
      <w:pPr>
        <w:rPr>
          <w:rFonts w:cs="Times New Roman"/>
          <w:i/>
        </w:rPr>
      </w:pPr>
      <w:r w:rsidRPr="005D0AEB">
        <w:rPr>
          <w:rFonts w:cs="Times New Roman"/>
          <w:i/>
          <w:noProof/>
          <w:lang w:val="en-GB" w:eastAsia="en-GB"/>
        </w:rPr>
        <w:drawing>
          <wp:inline distT="0" distB="0" distL="0" distR="0" wp14:anchorId="3BD12E86" wp14:editId="001401E1">
            <wp:extent cx="6120130" cy="3468602"/>
            <wp:effectExtent l="0" t="0" r="13970" b="1778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9B0A3E1" w14:textId="287D4C30" w:rsidR="0004018B" w:rsidRDefault="0004018B" w:rsidP="0004018B">
      <w:pPr>
        <w:rPr>
          <w:rFonts w:cs="Times New Roman"/>
          <w:i/>
        </w:rPr>
      </w:pPr>
    </w:p>
    <w:p w14:paraId="7F9EB3C6" w14:textId="77777777" w:rsidR="0004018B" w:rsidRDefault="0004018B" w:rsidP="0004018B">
      <w:pPr>
        <w:rPr>
          <w:rFonts w:cs="Times New Roman"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03"/>
        <w:gridCol w:w="1103"/>
        <w:gridCol w:w="1105"/>
        <w:gridCol w:w="1105"/>
        <w:gridCol w:w="1106"/>
        <w:gridCol w:w="1106"/>
      </w:tblGrid>
      <w:tr w:rsidR="000C7BC1" w:rsidRPr="00CF1CFA" w14:paraId="23E24A6F" w14:textId="77777777" w:rsidTr="000C7BC1">
        <w:trPr>
          <w:trHeight w:val="36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3B037" w14:textId="77777777" w:rsidR="0004018B" w:rsidRPr="00CF1CFA" w:rsidRDefault="0004018B" w:rsidP="00217313">
            <w:pPr>
              <w:rPr>
                <w:rFonts w:eastAsia="Times New Roman" w:cs="Times New Roman"/>
                <w:color w:val="000000"/>
                <w:lang w:eastAsia="lv-LV"/>
              </w:rPr>
            </w:pPr>
            <w:r>
              <w:rPr>
                <w:rFonts w:eastAsia="Times New Roman" w:cs="Times New Roman"/>
                <w:color w:val="000000"/>
                <w:lang w:eastAsia="lv-LV"/>
              </w:rPr>
              <w:t xml:space="preserve">Dienas stacionāra </w:t>
            </w:r>
            <w:r w:rsidRPr="00CF1CFA">
              <w:rPr>
                <w:rFonts w:eastAsia="Times New Roman" w:cs="Times New Roman"/>
                <w:color w:val="000000"/>
                <w:lang w:eastAsia="lv-LV"/>
              </w:rPr>
              <w:t xml:space="preserve">profils / </w:t>
            </w:r>
            <w:r>
              <w:rPr>
                <w:rFonts w:eastAsia="Times New Roman" w:cs="Times New Roman"/>
                <w:color w:val="000000"/>
                <w:lang w:eastAsia="lv-LV"/>
              </w:rPr>
              <w:t xml:space="preserve">ārstēto </w:t>
            </w:r>
            <w:r w:rsidRPr="00CF1CFA">
              <w:rPr>
                <w:rFonts w:eastAsia="Times New Roman" w:cs="Times New Roman"/>
                <w:color w:val="000000"/>
                <w:lang w:eastAsia="lv-LV"/>
              </w:rPr>
              <w:t>pacient</w:t>
            </w:r>
            <w:r>
              <w:rPr>
                <w:rFonts w:eastAsia="Times New Roman" w:cs="Times New Roman"/>
                <w:color w:val="000000"/>
                <w:lang w:eastAsia="lv-LV"/>
              </w:rPr>
              <w:t>u skaits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D611" w14:textId="77777777" w:rsidR="0004018B" w:rsidRPr="00CF1CFA" w:rsidRDefault="0004018B" w:rsidP="004F063C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CF1CFA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2015.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2AD5" w14:textId="77777777" w:rsidR="0004018B" w:rsidRPr="00CF1CFA" w:rsidRDefault="0004018B" w:rsidP="004F063C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CF1CFA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2016.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135C" w14:textId="77777777" w:rsidR="0004018B" w:rsidRPr="00CF1CFA" w:rsidRDefault="0004018B" w:rsidP="004F063C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CF1CFA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2017.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6C24" w14:textId="77777777" w:rsidR="0004018B" w:rsidRPr="00CF1CFA" w:rsidRDefault="0004018B" w:rsidP="004F063C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CF1CFA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2018.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7200" w14:textId="77777777" w:rsidR="0004018B" w:rsidRPr="00CF1CFA" w:rsidRDefault="0004018B" w:rsidP="004F063C">
            <w:pPr>
              <w:ind w:firstLine="0"/>
              <w:jc w:val="left"/>
              <w:rPr>
                <w:rFonts w:eastAsia="Times New Roman" w:cs="Times New Roman"/>
                <w:b/>
                <w:bCs/>
                <w:lang w:eastAsia="lv-LV"/>
              </w:rPr>
            </w:pPr>
            <w:r w:rsidRPr="00CF1CFA">
              <w:rPr>
                <w:rFonts w:eastAsia="Times New Roman" w:cs="Times New Roman"/>
                <w:b/>
                <w:bCs/>
                <w:lang w:eastAsia="lv-LV"/>
              </w:rPr>
              <w:t>2019.</w:t>
            </w:r>
          </w:p>
        </w:tc>
      </w:tr>
      <w:tr w:rsidR="000C7BC1" w:rsidRPr="00CF1CFA" w14:paraId="3498F22B" w14:textId="77777777" w:rsidTr="000C7BC1">
        <w:trPr>
          <w:trHeight w:val="255"/>
        </w:trPr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E5566" w14:textId="77777777" w:rsidR="0004018B" w:rsidRPr="00CF1CFA" w:rsidRDefault="0004018B" w:rsidP="00217313">
            <w:pPr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CF1CFA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Terapijas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2EF210" w14:textId="77777777" w:rsidR="0004018B" w:rsidRPr="00CF1CFA" w:rsidRDefault="0004018B" w:rsidP="000C7BC1">
            <w:pPr>
              <w:ind w:firstLine="0"/>
              <w:jc w:val="left"/>
              <w:rPr>
                <w:rFonts w:eastAsia="Times New Roman" w:cs="Times New Roman"/>
                <w:color w:val="000000"/>
                <w:lang w:eastAsia="lv-LV"/>
              </w:rPr>
            </w:pPr>
            <w:r w:rsidRPr="00CF1CFA">
              <w:rPr>
                <w:rFonts w:eastAsia="Times New Roman" w:cs="Times New Roman"/>
                <w:color w:val="000000"/>
                <w:lang w:eastAsia="lv-LV"/>
              </w:rPr>
              <w:t>148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918A4" w14:textId="77777777" w:rsidR="0004018B" w:rsidRPr="00CF1CFA" w:rsidRDefault="0004018B" w:rsidP="000C7BC1">
            <w:pPr>
              <w:ind w:firstLine="0"/>
              <w:jc w:val="left"/>
              <w:rPr>
                <w:rFonts w:eastAsia="Times New Roman" w:cs="Times New Roman"/>
                <w:color w:val="000000"/>
                <w:lang w:eastAsia="lv-LV"/>
              </w:rPr>
            </w:pPr>
            <w:r w:rsidRPr="00CF1CFA">
              <w:rPr>
                <w:rFonts w:eastAsia="Times New Roman" w:cs="Times New Roman"/>
                <w:color w:val="000000"/>
                <w:lang w:eastAsia="lv-LV"/>
              </w:rPr>
              <w:t>519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33AB2" w14:textId="77777777" w:rsidR="0004018B" w:rsidRPr="00CF1CFA" w:rsidRDefault="0004018B" w:rsidP="000C7BC1">
            <w:pPr>
              <w:ind w:firstLine="0"/>
              <w:jc w:val="left"/>
              <w:rPr>
                <w:rFonts w:eastAsia="Times New Roman" w:cs="Times New Roman"/>
                <w:color w:val="000000"/>
                <w:lang w:eastAsia="lv-LV"/>
              </w:rPr>
            </w:pPr>
            <w:r w:rsidRPr="00CF1CFA">
              <w:rPr>
                <w:rFonts w:eastAsia="Times New Roman" w:cs="Times New Roman"/>
                <w:color w:val="000000"/>
                <w:lang w:eastAsia="lv-LV"/>
              </w:rPr>
              <w:t>587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EFA6E3" w14:textId="77777777" w:rsidR="0004018B" w:rsidRPr="00CF1CFA" w:rsidRDefault="0004018B" w:rsidP="000C7BC1">
            <w:pPr>
              <w:ind w:firstLine="0"/>
              <w:jc w:val="left"/>
              <w:rPr>
                <w:rFonts w:eastAsia="Times New Roman" w:cs="Times New Roman"/>
                <w:color w:val="000000"/>
                <w:lang w:eastAsia="lv-LV"/>
              </w:rPr>
            </w:pPr>
            <w:r w:rsidRPr="00CF1CFA">
              <w:rPr>
                <w:rFonts w:eastAsia="Times New Roman" w:cs="Times New Roman"/>
                <w:color w:val="000000"/>
                <w:lang w:eastAsia="lv-LV"/>
              </w:rPr>
              <w:t>180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245B4" w14:textId="77777777" w:rsidR="0004018B" w:rsidRPr="00CF1CFA" w:rsidRDefault="0004018B" w:rsidP="000C7BC1">
            <w:pPr>
              <w:ind w:firstLine="0"/>
              <w:jc w:val="left"/>
              <w:rPr>
                <w:rFonts w:eastAsia="Times New Roman" w:cs="Times New Roman"/>
                <w:color w:val="000000"/>
                <w:lang w:eastAsia="lv-LV"/>
              </w:rPr>
            </w:pPr>
            <w:r w:rsidRPr="00CF1CFA">
              <w:rPr>
                <w:rFonts w:eastAsia="Times New Roman" w:cs="Times New Roman"/>
                <w:color w:val="000000"/>
                <w:lang w:eastAsia="lv-LV"/>
              </w:rPr>
              <w:t>240</w:t>
            </w:r>
          </w:p>
        </w:tc>
      </w:tr>
      <w:tr w:rsidR="000C7BC1" w:rsidRPr="00CF1CFA" w14:paraId="72CCBEF1" w14:textId="77777777" w:rsidTr="000C7BC1">
        <w:trPr>
          <w:trHeight w:val="255"/>
        </w:trPr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8F250C" w14:textId="77777777" w:rsidR="0004018B" w:rsidRPr="00CF1CFA" w:rsidRDefault="0004018B" w:rsidP="00217313">
            <w:pPr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CF1CFA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Gastroenteroloģijas - Pieaugušie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8D3DDD" w14:textId="7D8D5BA9" w:rsidR="0004018B" w:rsidRPr="00CF1CFA" w:rsidRDefault="0004018B" w:rsidP="000C7BC1">
            <w:pPr>
              <w:jc w:val="left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B0E78" w14:textId="33026E49" w:rsidR="0004018B" w:rsidRPr="00CF1CFA" w:rsidRDefault="0004018B" w:rsidP="000C7BC1">
            <w:pPr>
              <w:jc w:val="left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B6DA81" w14:textId="7F4DC527" w:rsidR="0004018B" w:rsidRPr="00CF1CFA" w:rsidRDefault="0004018B" w:rsidP="000C7BC1">
            <w:pPr>
              <w:jc w:val="left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9303A" w14:textId="77777777" w:rsidR="0004018B" w:rsidRPr="00CF1CFA" w:rsidRDefault="0004018B" w:rsidP="000C7BC1">
            <w:pPr>
              <w:ind w:firstLine="0"/>
              <w:jc w:val="left"/>
              <w:rPr>
                <w:rFonts w:eastAsia="Times New Roman" w:cs="Times New Roman"/>
                <w:color w:val="000000"/>
                <w:lang w:eastAsia="lv-LV"/>
              </w:rPr>
            </w:pPr>
            <w:r w:rsidRPr="00CF1CFA">
              <w:rPr>
                <w:rFonts w:eastAsia="Times New Roman" w:cs="Times New Roman"/>
                <w:color w:val="000000"/>
                <w:lang w:eastAsia="lv-LV"/>
              </w:rPr>
              <w:t>517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BDEBD" w14:textId="77777777" w:rsidR="0004018B" w:rsidRPr="00CF1CFA" w:rsidRDefault="0004018B" w:rsidP="000C7BC1">
            <w:pPr>
              <w:ind w:firstLine="0"/>
              <w:jc w:val="left"/>
              <w:rPr>
                <w:rFonts w:eastAsia="Times New Roman" w:cs="Times New Roman"/>
                <w:color w:val="000000"/>
                <w:lang w:eastAsia="lv-LV"/>
              </w:rPr>
            </w:pPr>
            <w:r w:rsidRPr="00CF1CFA">
              <w:rPr>
                <w:rFonts w:eastAsia="Times New Roman" w:cs="Times New Roman"/>
                <w:color w:val="000000"/>
                <w:lang w:eastAsia="lv-LV"/>
              </w:rPr>
              <w:t>589</w:t>
            </w:r>
          </w:p>
        </w:tc>
      </w:tr>
      <w:tr w:rsidR="000C7BC1" w:rsidRPr="00CF1CFA" w14:paraId="7B23A79F" w14:textId="77777777" w:rsidTr="000C7BC1">
        <w:trPr>
          <w:trHeight w:val="255"/>
        </w:trPr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60BED" w14:textId="77777777" w:rsidR="0004018B" w:rsidRPr="00CF1CFA" w:rsidRDefault="0004018B" w:rsidP="00217313">
            <w:pPr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CF1CFA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Ķirurģijas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45DFC" w14:textId="77777777" w:rsidR="0004018B" w:rsidRPr="00CF1CFA" w:rsidRDefault="0004018B" w:rsidP="000C7BC1">
            <w:pPr>
              <w:ind w:firstLine="0"/>
              <w:jc w:val="left"/>
              <w:rPr>
                <w:rFonts w:eastAsia="Times New Roman" w:cs="Times New Roman"/>
                <w:color w:val="000000"/>
                <w:lang w:eastAsia="lv-LV"/>
              </w:rPr>
            </w:pPr>
            <w:r w:rsidRPr="00CF1CFA">
              <w:rPr>
                <w:rFonts w:eastAsia="Times New Roman" w:cs="Times New Roman"/>
                <w:color w:val="000000"/>
                <w:lang w:eastAsia="lv-LV"/>
              </w:rPr>
              <w:t>459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6730D" w14:textId="77777777" w:rsidR="0004018B" w:rsidRPr="00CF1CFA" w:rsidRDefault="0004018B" w:rsidP="000C7BC1">
            <w:pPr>
              <w:ind w:firstLine="0"/>
              <w:jc w:val="left"/>
              <w:rPr>
                <w:rFonts w:eastAsia="Times New Roman" w:cs="Times New Roman"/>
                <w:color w:val="000000"/>
                <w:lang w:eastAsia="lv-LV"/>
              </w:rPr>
            </w:pPr>
            <w:r w:rsidRPr="00CF1CFA">
              <w:rPr>
                <w:rFonts w:eastAsia="Times New Roman" w:cs="Times New Roman"/>
                <w:color w:val="000000"/>
                <w:lang w:eastAsia="lv-LV"/>
              </w:rPr>
              <w:t>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87FC7" w14:textId="77777777" w:rsidR="0004018B" w:rsidRPr="00CF1CFA" w:rsidRDefault="0004018B" w:rsidP="000C7BC1">
            <w:pPr>
              <w:ind w:firstLine="0"/>
              <w:jc w:val="left"/>
              <w:rPr>
                <w:rFonts w:eastAsia="Times New Roman" w:cs="Times New Roman"/>
                <w:color w:val="000000"/>
                <w:lang w:eastAsia="lv-LV"/>
              </w:rPr>
            </w:pPr>
            <w:r w:rsidRPr="00CF1CFA">
              <w:rPr>
                <w:rFonts w:eastAsia="Times New Roman" w:cs="Times New Roman"/>
                <w:color w:val="000000"/>
                <w:lang w:eastAsia="lv-LV"/>
              </w:rPr>
              <w:t>32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AEF20" w14:textId="77777777" w:rsidR="0004018B" w:rsidRPr="00CF1CFA" w:rsidRDefault="0004018B" w:rsidP="000C7BC1">
            <w:pPr>
              <w:ind w:firstLine="0"/>
              <w:jc w:val="left"/>
              <w:rPr>
                <w:rFonts w:eastAsia="Times New Roman" w:cs="Times New Roman"/>
                <w:color w:val="000000"/>
                <w:lang w:eastAsia="lv-LV"/>
              </w:rPr>
            </w:pPr>
            <w:r w:rsidRPr="00CF1CFA">
              <w:rPr>
                <w:rFonts w:eastAsia="Times New Roman" w:cs="Times New Roman"/>
                <w:color w:val="000000"/>
                <w:lang w:eastAsia="lv-LV"/>
              </w:rPr>
              <w:t>78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485F4" w14:textId="77777777" w:rsidR="0004018B" w:rsidRPr="00CF1CFA" w:rsidRDefault="0004018B" w:rsidP="000C7BC1">
            <w:pPr>
              <w:ind w:firstLine="0"/>
              <w:jc w:val="left"/>
              <w:rPr>
                <w:rFonts w:eastAsia="Times New Roman" w:cs="Times New Roman"/>
                <w:color w:val="000000"/>
                <w:lang w:eastAsia="lv-LV"/>
              </w:rPr>
            </w:pPr>
            <w:r w:rsidRPr="00CF1CFA">
              <w:rPr>
                <w:rFonts w:eastAsia="Times New Roman" w:cs="Times New Roman"/>
                <w:color w:val="000000"/>
                <w:lang w:eastAsia="lv-LV"/>
              </w:rPr>
              <w:t>210</w:t>
            </w:r>
          </w:p>
        </w:tc>
      </w:tr>
      <w:tr w:rsidR="000C7BC1" w:rsidRPr="00CF1CFA" w14:paraId="0065C5C9" w14:textId="77777777" w:rsidTr="000C7BC1">
        <w:trPr>
          <w:trHeight w:val="255"/>
        </w:trPr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271A1" w14:textId="77777777" w:rsidR="0004018B" w:rsidRPr="00CF1CFA" w:rsidRDefault="0004018B" w:rsidP="00217313">
            <w:pPr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CF1CFA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Traumatoloģijas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2DF280" w14:textId="77777777" w:rsidR="0004018B" w:rsidRPr="00CF1CFA" w:rsidRDefault="0004018B" w:rsidP="000C7BC1">
            <w:pPr>
              <w:ind w:firstLine="0"/>
              <w:jc w:val="left"/>
              <w:rPr>
                <w:rFonts w:eastAsia="Times New Roman" w:cs="Times New Roman"/>
                <w:color w:val="000000"/>
                <w:lang w:eastAsia="lv-LV"/>
              </w:rPr>
            </w:pPr>
            <w:r w:rsidRPr="00CF1CFA">
              <w:rPr>
                <w:rFonts w:eastAsia="Times New Roman" w:cs="Times New Roman"/>
                <w:color w:val="000000"/>
                <w:lang w:eastAsia="lv-LV"/>
              </w:rPr>
              <w:t>90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CD725" w14:textId="77777777" w:rsidR="0004018B" w:rsidRPr="00CF1CFA" w:rsidRDefault="0004018B" w:rsidP="000C7BC1">
            <w:pPr>
              <w:ind w:firstLine="0"/>
              <w:jc w:val="left"/>
              <w:rPr>
                <w:rFonts w:eastAsia="Times New Roman" w:cs="Times New Roman"/>
                <w:color w:val="000000"/>
                <w:lang w:eastAsia="lv-LV"/>
              </w:rPr>
            </w:pPr>
            <w:r w:rsidRPr="00CF1CFA">
              <w:rPr>
                <w:rFonts w:eastAsia="Times New Roman" w:cs="Times New Roman"/>
                <w:color w:val="000000"/>
                <w:lang w:eastAsia="lv-LV"/>
              </w:rPr>
              <w:t>180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65439" w14:textId="77777777" w:rsidR="0004018B" w:rsidRPr="00CF1CFA" w:rsidRDefault="0004018B" w:rsidP="000C7BC1">
            <w:pPr>
              <w:ind w:firstLine="0"/>
              <w:jc w:val="left"/>
              <w:rPr>
                <w:rFonts w:eastAsia="Times New Roman" w:cs="Times New Roman"/>
                <w:color w:val="000000"/>
                <w:lang w:eastAsia="lv-LV"/>
              </w:rPr>
            </w:pPr>
            <w:r w:rsidRPr="00CF1CFA">
              <w:rPr>
                <w:rFonts w:eastAsia="Times New Roman" w:cs="Times New Roman"/>
                <w:color w:val="000000"/>
                <w:lang w:eastAsia="lv-LV"/>
              </w:rPr>
              <w:t>180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9E7DF" w14:textId="77777777" w:rsidR="0004018B" w:rsidRPr="00CF1CFA" w:rsidRDefault="0004018B" w:rsidP="000C7BC1">
            <w:pPr>
              <w:ind w:firstLine="0"/>
              <w:jc w:val="left"/>
              <w:rPr>
                <w:rFonts w:eastAsia="Times New Roman" w:cs="Times New Roman"/>
                <w:color w:val="000000"/>
                <w:lang w:eastAsia="lv-LV"/>
              </w:rPr>
            </w:pPr>
            <w:r w:rsidRPr="00CF1CFA">
              <w:rPr>
                <w:rFonts w:eastAsia="Times New Roman" w:cs="Times New Roman"/>
                <w:color w:val="000000"/>
                <w:lang w:eastAsia="lv-LV"/>
              </w:rPr>
              <w:t>196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135B2" w14:textId="77777777" w:rsidR="0004018B" w:rsidRPr="00CF1CFA" w:rsidRDefault="0004018B" w:rsidP="000C7BC1">
            <w:pPr>
              <w:ind w:firstLine="0"/>
              <w:jc w:val="left"/>
              <w:rPr>
                <w:rFonts w:eastAsia="Times New Roman" w:cs="Times New Roman"/>
                <w:color w:val="000000"/>
                <w:lang w:eastAsia="lv-LV"/>
              </w:rPr>
            </w:pPr>
            <w:r w:rsidRPr="00CF1CFA">
              <w:rPr>
                <w:rFonts w:eastAsia="Times New Roman" w:cs="Times New Roman"/>
                <w:color w:val="000000"/>
                <w:lang w:eastAsia="lv-LV"/>
              </w:rPr>
              <w:t>224</w:t>
            </w:r>
          </w:p>
        </w:tc>
      </w:tr>
      <w:tr w:rsidR="000C7BC1" w:rsidRPr="00CF1CFA" w14:paraId="6E93579A" w14:textId="77777777" w:rsidTr="000C7BC1">
        <w:trPr>
          <w:trHeight w:val="255"/>
        </w:trPr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615482" w14:textId="77777777" w:rsidR="0004018B" w:rsidRPr="00CF1CFA" w:rsidRDefault="0004018B" w:rsidP="00217313">
            <w:pPr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CF1CFA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 xml:space="preserve">Uroloģijas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F3EAAD" w14:textId="659152D1" w:rsidR="0004018B" w:rsidRPr="00CF1CFA" w:rsidRDefault="0004018B" w:rsidP="000C7BC1">
            <w:pPr>
              <w:jc w:val="left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EC2D9" w14:textId="1322FA43" w:rsidR="0004018B" w:rsidRPr="00CF1CFA" w:rsidRDefault="0004018B" w:rsidP="000C7BC1">
            <w:pPr>
              <w:jc w:val="left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5A3B3" w14:textId="3FE7AA1E" w:rsidR="0004018B" w:rsidRPr="00CF1CFA" w:rsidRDefault="0004018B" w:rsidP="000C7BC1">
            <w:pPr>
              <w:jc w:val="left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5CB98" w14:textId="77777777" w:rsidR="0004018B" w:rsidRPr="00CF1CFA" w:rsidRDefault="0004018B" w:rsidP="000C7BC1">
            <w:pPr>
              <w:ind w:firstLine="0"/>
              <w:jc w:val="left"/>
              <w:rPr>
                <w:rFonts w:eastAsia="Times New Roman" w:cs="Times New Roman"/>
                <w:color w:val="000000"/>
                <w:lang w:eastAsia="lv-LV"/>
              </w:rPr>
            </w:pPr>
            <w:r w:rsidRPr="00CF1CFA">
              <w:rPr>
                <w:rFonts w:eastAsia="Times New Roman" w:cs="Times New Roman"/>
                <w:color w:val="000000"/>
                <w:lang w:eastAsia="lv-LV"/>
              </w:rPr>
              <w:t>25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03739" w14:textId="77777777" w:rsidR="0004018B" w:rsidRPr="00CF1CFA" w:rsidRDefault="0004018B" w:rsidP="000C7BC1">
            <w:pPr>
              <w:ind w:firstLine="0"/>
              <w:jc w:val="left"/>
              <w:rPr>
                <w:rFonts w:eastAsia="Times New Roman" w:cs="Times New Roman"/>
                <w:color w:val="000000"/>
                <w:lang w:eastAsia="lv-LV"/>
              </w:rPr>
            </w:pPr>
            <w:r w:rsidRPr="00CF1CFA">
              <w:rPr>
                <w:rFonts w:eastAsia="Times New Roman" w:cs="Times New Roman"/>
                <w:color w:val="000000"/>
                <w:lang w:eastAsia="lv-LV"/>
              </w:rPr>
              <w:t>63</w:t>
            </w:r>
          </w:p>
        </w:tc>
      </w:tr>
      <w:tr w:rsidR="000C7BC1" w:rsidRPr="00CF1CFA" w14:paraId="04059E1F" w14:textId="77777777" w:rsidTr="000C7BC1">
        <w:trPr>
          <w:trHeight w:val="255"/>
        </w:trPr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949D3E" w14:textId="77777777" w:rsidR="0004018B" w:rsidRPr="00CF1CFA" w:rsidRDefault="0004018B" w:rsidP="00217313">
            <w:pPr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CF1CFA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Ginekoloģijas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611562" w14:textId="77777777" w:rsidR="0004018B" w:rsidRPr="00CF1CFA" w:rsidRDefault="0004018B" w:rsidP="000C7BC1">
            <w:pPr>
              <w:ind w:firstLine="0"/>
              <w:jc w:val="left"/>
              <w:rPr>
                <w:rFonts w:eastAsia="Times New Roman" w:cs="Times New Roman"/>
                <w:color w:val="000000"/>
                <w:lang w:eastAsia="lv-LV"/>
              </w:rPr>
            </w:pPr>
            <w:r w:rsidRPr="00CF1CFA">
              <w:rPr>
                <w:rFonts w:eastAsia="Times New Roman" w:cs="Times New Roman"/>
                <w:color w:val="000000"/>
                <w:lang w:eastAsia="lv-LV"/>
              </w:rPr>
              <w:t>235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7E43D8" w14:textId="77777777" w:rsidR="0004018B" w:rsidRPr="00CF1CFA" w:rsidRDefault="0004018B" w:rsidP="000C7BC1">
            <w:pPr>
              <w:ind w:firstLine="0"/>
              <w:jc w:val="left"/>
              <w:rPr>
                <w:rFonts w:eastAsia="Times New Roman" w:cs="Times New Roman"/>
                <w:color w:val="000000"/>
                <w:lang w:eastAsia="lv-LV"/>
              </w:rPr>
            </w:pPr>
            <w:r w:rsidRPr="00CF1CFA">
              <w:rPr>
                <w:rFonts w:eastAsia="Times New Roman" w:cs="Times New Roman"/>
                <w:color w:val="000000"/>
                <w:lang w:eastAsia="lv-LV"/>
              </w:rPr>
              <w:t>249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FD76E1" w14:textId="77777777" w:rsidR="0004018B" w:rsidRPr="00CF1CFA" w:rsidRDefault="0004018B" w:rsidP="000C7BC1">
            <w:pPr>
              <w:ind w:firstLine="0"/>
              <w:jc w:val="left"/>
              <w:rPr>
                <w:rFonts w:eastAsia="Times New Roman" w:cs="Times New Roman"/>
                <w:color w:val="000000"/>
                <w:lang w:eastAsia="lv-LV"/>
              </w:rPr>
            </w:pPr>
            <w:r w:rsidRPr="00CF1CFA">
              <w:rPr>
                <w:rFonts w:eastAsia="Times New Roman" w:cs="Times New Roman"/>
                <w:color w:val="000000"/>
                <w:lang w:eastAsia="lv-LV"/>
              </w:rPr>
              <w:t>227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68587" w14:textId="77777777" w:rsidR="0004018B" w:rsidRPr="00CF1CFA" w:rsidRDefault="0004018B" w:rsidP="000C7BC1">
            <w:pPr>
              <w:ind w:firstLine="0"/>
              <w:jc w:val="left"/>
              <w:rPr>
                <w:rFonts w:eastAsia="Times New Roman" w:cs="Times New Roman"/>
                <w:color w:val="000000"/>
                <w:lang w:eastAsia="lv-LV"/>
              </w:rPr>
            </w:pPr>
            <w:r w:rsidRPr="00CF1CFA">
              <w:rPr>
                <w:rFonts w:eastAsia="Times New Roman" w:cs="Times New Roman"/>
                <w:color w:val="000000"/>
                <w:lang w:eastAsia="lv-LV"/>
              </w:rPr>
              <w:t>283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D8C8B" w14:textId="77777777" w:rsidR="0004018B" w:rsidRPr="00CF1CFA" w:rsidRDefault="0004018B" w:rsidP="000C7BC1">
            <w:pPr>
              <w:ind w:firstLine="0"/>
              <w:jc w:val="left"/>
              <w:rPr>
                <w:rFonts w:eastAsia="Times New Roman" w:cs="Times New Roman"/>
                <w:color w:val="000000"/>
                <w:lang w:eastAsia="lv-LV"/>
              </w:rPr>
            </w:pPr>
            <w:r w:rsidRPr="00CF1CFA">
              <w:rPr>
                <w:rFonts w:eastAsia="Times New Roman" w:cs="Times New Roman"/>
                <w:color w:val="000000"/>
                <w:lang w:eastAsia="lv-LV"/>
              </w:rPr>
              <w:t>270</w:t>
            </w:r>
          </w:p>
        </w:tc>
      </w:tr>
      <w:tr w:rsidR="000C7BC1" w:rsidRPr="00CF1CFA" w14:paraId="38543B51" w14:textId="77777777" w:rsidTr="000C7BC1">
        <w:trPr>
          <w:trHeight w:val="255"/>
        </w:trPr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8FB4D8" w14:textId="77777777" w:rsidR="0004018B" w:rsidRPr="00CF1CFA" w:rsidRDefault="0004018B" w:rsidP="00217313">
            <w:pPr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CF1CFA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Neiroloģijas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9BB67" w14:textId="77777777" w:rsidR="0004018B" w:rsidRPr="00CF1CFA" w:rsidRDefault="0004018B" w:rsidP="000C7BC1">
            <w:pPr>
              <w:ind w:firstLine="0"/>
              <w:jc w:val="left"/>
              <w:rPr>
                <w:rFonts w:eastAsia="Times New Roman" w:cs="Times New Roman"/>
                <w:color w:val="000000"/>
                <w:lang w:eastAsia="lv-LV"/>
              </w:rPr>
            </w:pPr>
            <w:r w:rsidRPr="00CF1CFA">
              <w:rPr>
                <w:rFonts w:eastAsia="Times New Roman" w:cs="Times New Roman"/>
                <w:color w:val="000000"/>
                <w:lang w:eastAsia="lv-LV"/>
              </w:rPr>
              <w:t>57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73EB4" w14:textId="77777777" w:rsidR="0004018B" w:rsidRPr="00CF1CFA" w:rsidRDefault="0004018B" w:rsidP="000C7BC1">
            <w:pPr>
              <w:ind w:firstLine="0"/>
              <w:jc w:val="left"/>
              <w:rPr>
                <w:rFonts w:eastAsia="Times New Roman" w:cs="Times New Roman"/>
                <w:color w:val="000000"/>
                <w:lang w:eastAsia="lv-LV"/>
              </w:rPr>
            </w:pPr>
            <w:r w:rsidRPr="00CF1CFA">
              <w:rPr>
                <w:rFonts w:eastAsia="Times New Roman" w:cs="Times New Roman"/>
                <w:color w:val="000000"/>
                <w:lang w:eastAsia="lv-LV"/>
              </w:rPr>
              <w:t>56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6D4288" w14:textId="77777777" w:rsidR="0004018B" w:rsidRPr="00CF1CFA" w:rsidRDefault="0004018B" w:rsidP="000C7BC1">
            <w:pPr>
              <w:ind w:firstLine="0"/>
              <w:jc w:val="left"/>
              <w:rPr>
                <w:rFonts w:eastAsia="Times New Roman" w:cs="Times New Roman"/>
                <w:color w:val="000000"/>
                <w:lang w:eastAsia="lv-LV"/>
              </w:rPr>
            </w:pPr>
            <w:r w:rsidRPr="00CF1CFA">
              <w:rPr>
                <w:rFonts w:eastAsia="Times New Roman" w:cs="Times New Roman"/>
                <w:color w:val="000000"/>
                <w:lang w:eastAsia="lv-LV"/>
              </w:rPr>
              <w:t>81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E054B" w14:textId="77777777" w:rsidR="0004018B" w:rsidRPr="00CF1CFA" w:rsidRDefault="0004018B" w:rsidP="000C7BC1">
            <w:pPr>
              <w:ind w:firstLine="0"/>
              <w:jc w:val="left"/>
              <w:rPr>
                <w:rFonts w:eastAsia="Times New Roman" w:cs="Times New Roman"/>
                <w:color w:val="000000"/>
                <w:lang w:eastAsia="lv-LV"/>
              </w:rPr>
            </w:pPr>
            <w:r w:rsidRPr="00CF1CFA">
              <w:rPr>
                <w:rFonts w:eastAsia="Times New Roman" w:cs="Times New Roman"/>
                <w:color w:val="000000"/>
                <w:lang w:eastAsia="lv-LV"/>
              </w:rPr>
              <w:t>63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DD655" w14:textId="77777777" w:rsidR="0004018B" w:rsidRPr="00CF1CFA" w:rsidRDefault="0004018B" w:rsidP="000C7BC1">
            <w:pPr>
              <w:ind w:firstLine="0"/>
              <w:jc w:val="left"/>
              <w:rPr>
                <w:rFonts w:eastAsia="Times New Roman" w:cs="Times New Roman"/>
                <w:color w:val="000000"/>
                <w:lang w:eastAsia="lv-LV"/>
              </w:rPr>
            </w:pPr>
            <w:r w:rsidRPr="00CF1CFA">
              <w:rPr>
                <w:rFonts w:eastAsia="Times New Roman" w:cs="Times New Roman"/>
                <w:color w:val="000000"/>
                <w:lang w:eastAsia="lv-LV"/>
              </w:rPr>
              <w:t>71</w:t>
            </w:r>
          </w:p>
        </w:tc>
      </w:tr>
      <w:tr w:rsidR="000C7BC1" w:rsidRPr="00CF1CFA" w14:paraId="6D40CB70" w14:textId="77777777" w:rsidTr="000C7BC1">
        <w:trPr>
          <w:trHeight w:val="255"/>
        </w:trPr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4745C" w14:textId="77777777" w:rsidR="0004018B" w:rsidRPr="00CF1CFA" w:rsidRDefault="0004018B" w:rsidP="00217313">
            <w:pPr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proofErr w:type="spellStart"/>
            <w:r w:rsidRPr="00CF1CFA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Otolaringoloģijas</w:t>
            </w:r>
            <w:proofErr w:type="spellEnd"/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A0B069" w14:textId="77777777" w:rsidR="0004018B" w:rsidRPr="00CF1CFA" w:rsidRDefault="0004018B" w:rsidP="000C7BC1">
            <w:pPr>
              <w:ind w:firstLine="0"/>
              <w:jc w:val="left"/>
              <w:rPr>
                <w:rFonts w:eastAsia="Times New Roman" w:cs="Times New Roman"/>
                <w:color w:val="000000"/>
                <w:lang w:eastAsia="lv-LV"/>
              </w:rPr>
            </w:pPr>
            <w:r w:rsidRPr="00CF1CFA">
              <w:rPr>
                <w:rFonts w:eastAsia="Times New Roman" w:cs="Times New Roman"/>
                <w:color w:val="000000"/>
                <w:lang w:eastAsia="lv-LV"/>
              </w:rPr>
              <w:t>572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C6E74" w14:textId="77777777" w:rsidR="0004018B" w:rsidRPr="00CF1CFA" w:rsidRDefault="0004018B" w:rsidP="000C7BC1">
            <w:pPr>
              <w:ind w:firstLine="0"/>
              <w:jc w:val="left"/>
              <w:rPr>
                <w:rFonts w:eastAsia="Times New Roman" w:cs="Times New Roman"/>
                <w:color w:val="000000"/>
                <w:lang w:eastAsia="lv-LV"/>
              </w:rPr>
            </w:pPr>
            <w:r w:rsidRPr="00CF1CFA">
              <w:rPr>
                <w:rFonts w:eastAsia="Times New Roman" w:cs="Times New Roman"/>
                <w:color w:val="000000"/>
                <w:lang w:eastAsia="lv-LV"/>
              </w:rPr>
              <w:t>549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64ED3" w14:textId="77777777" w:rsidR="0004018B" w:rsidRPr="00CF1CFA" w:rsidRDefault="0004018B" w:rsidP="000C7BC1">
            <w:pPr>
              <w:ind w:firstLine="0"/>
              <w:jc w:val="left"/>
              <w:rPr>
                <w:rFonts w:eastAsia="Times New Roman" w:cs="Times New Roman"/>
                <w:color w:val="000000"/>
                <w:lang w:eastAsia="lv-LV"/>
              </w:rPr>
            </w:pPr>
            <w:r w:rsidRPr="00CF1CFA">
              <w:rPr>
                <w:rFonts w:eastAsia="Times New Roman" w:cs="Times New Roman"/>
                <w:color w:val="000000"/>
                <w:lang w:eastAsia="lv-LV"/>
              </w:rPr>
              <w:t>536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AEA10" w14:textId="77777777" w:rsidR="0004018B" w:rsidRPr="00CF1CFA" w:rsidRDefault="0004018B" w:rsidP="000C7BC1">
            <w:pPr>
              <w:ind w:firstLine="0"/>
              <w:jc w:val="left"/>
              <w:rPr>
                <w:rFonts w:eastAsia="Times New Roman" w:cs="Times New Roman"/>
                <w:color w:val="000000"/>
                <w:lang w:eastAsia="lv-LV"/>
              </w:rPr>
            </w:pPr>
            <w:r w:rsidRPr="00CF1CFA">
              <w:rPr>
                <w:rFonts w:eastAsia="Times New Roman" w:cs="Times New Roman"/>
                <w:color w:val="000000"/>
                <w:lang w:eastAsia="lv-LV"/>
              </w:rPr>
              <w:t>555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0259ED" w14:textId="77777777" w:rsidR="0004018B" w:rsidRPr="00CF1CFA" w:rsidRDefault="0004018B" w:rsidP="000C7BC1">
            <w:pPr>
              <w:ind w:firstLine="0"/>
              <w:jc w:val="left"/>
              <w:rPr>
                <w:rFonts w:eastAsia="Times New Roman" w:cs="Times New Roman"/>
                <w:color w:val="000000"/>
                <w:lang w:eastAsia="lv-LV"/>
              </w:rPr>
            </w:pPr>
            <w:r w:rsidRPr="00CF1CFA">
              <w:rPr>
                <w:rFonts w:eastAsia="Times New Roman" w:cs="Times New Roman"/>
                <w:color w:val="000000"/>
                <w:lang w:eastAsia="lv-LV"/>
              </w:rPr>
              <w:t>572</w:t>
            </w:r>
          </w:p>
        </w:tc>
      </w:tr>
      <w:tr w:rsidR="000C7BC1" w:rsidRPr="00CF1CFA" w14:paraId="472979BF" w14:textId="77777777" w:rsidTr="000C7BC1">
        <w:trPr>
          <w:trHeight w:val="255"/>
        </w:trPr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96891" w14:textId="77777777" w:rsidR="0004018B" w:rsidRPr="00CF1CFA" w:rsidRDefault="0004018B" w:rsidP="00217313">
            <w:pPr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CF1CFA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Hemodialīzes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BD7DA1" w14:textId="77777777" w:rsidR="0004018B" w:rsidRPr="00CF1CFA" w:rsidRDefault="0004018B" w:rsidP="000C7BC1">
            <w:pPr>
              <w:ind w:firstLine="0"/>
              <w:jc w:val="left"/>
              <w:rPr>
                <w:rFonts w:eastAsia="Times New Roman" w:cs="Times New Roman"/>
                <w:color w:val="000000"/>
                <w:lang w:eastAsia="lv-LV"/>
              </w:rPr>
            </w:pPr>
            <w:r w:rsidRPr="00CF1CFA">
              <w:rPr>
                <w:rFonts w:eastAsia="Times New Roman" w:cs="Times New Roman"/>
                <w:color w:val="000000"/>
                <w:lang w:eastAsia="lv-LV"/>
              </w:rPr>
              <w:t>115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98C76" w14:textId="77777777" w:rsidR="0004018B" w:rsidRPr="00CF1CFA" w:rsidRDefault="0004018B" w:rsidP="000C7BC1">
            <w:pPr>
              <w:ind w:firstLine="0"/>
              <w:jc w:val="left"/>
              <w:rPr>
                <w:rFonts w:eastAsia="Times New Roman" w:cs="Times New Roman"/>
                <w:color w:val="000000"/>
                <w:lang w:eastAsia="lv-LV"/>
              </w:rPr>
            </w:pPr>
            <w:r w:rsidRPr="00CF1CFA">
              <w:rPr>
                <w:rFonts w:eastAsia="Times New Roman" w:cs="Times New Roman"/>
                <w:color w:val="000000"/>
                <w:lang w:eastAsia="lv-LV"/>
              </w:rPr>
              <w:t>161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DE7831" w14:textId="77777777" w:rsidR="0004018B" w:rsidRPr="00CF1CFA" w:rsidRDefault="0004018B" w:rsidP="000C7BC1">
            <w:pPr>
              <w:ind w:firstLine="0"/>
              <w:jc w:val="left"/>
              <w:rPr>
                <w:rFonts w:eastAsia="Times New Roman" w:cs="Times New Roman"/>
                <w:color w:val="000000"/>
                <w:lang w:eastAsia="lv-LV"/>
              </w:rPr>
            </w:pPr>
            <w:r w:rsidRPr="00CF1CFA">
              <w:rPr>
                <w:rFonts w:eastAsia="Times New Roman" w:cs="Times New Roman"/>
                <w:color w:val="000000"/>
                <w:lang w:eastAsia="lv-LV"/>
              </w:rPr>
              <w:t>180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B5A3E1" w14:textId="77777777" w:rsidR="0004018B" w:rsidRPr="00CF1CFA" w:rsidRDefault="0004018B" w:rsidP="000C7BC1">
            <w:pPr>
              <w:ind w:firstLine="0"/>
              <w:jc w:val="left"/>
              <w:rPr>
                <w:rFonts w:eastAsia="Times New Roman" w:cs="Times New Roman"/>
                <w:color w:val="000000"/>
                <w:lang w:eastAsia="lv-LV"/>
              </w:rPr>
            </w:pPr>
            <w:r w:rsidRPr="00CF1CFA">
              <w:rPr>
                <w:rFonts w:eastAsia="Times New Roman" w:cs="Times New Roman"/>
                <w:color w:val="000000"/>
                <w:lang w:eastAsia="lv-LV"/>
              </w:rPr>
              <w:t>112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CAB6E" w14:textId="77777777" w:rsidR="0004018B" w:rsidRPr="00CF1CFA" w:rsidRDefault="0004018B" w:rsidP="000C7BC1">
            <w:pPr>
              <w:ind w:firstLine="0"/>
              <w:jc w:val="left"/>
              <w:rPr>
                <w:rFonts w:eastAsia="Times New Roman" w:cs="Times New Roman"/>
                <w:color w:val="000000"/>
                <w:lang w:eastAsia="lv-LV"/>
              </w:rPr>
            </w:pPr>
            <w:r w:rsidRPr="00CF1CFA">
              <w:rPr>
                <w:rFonts w:eastAsia="Times New Roman" w:cs="Times New Roman"/>
                <w:color w:val="000000"/>
                <w:lang w:eastAsia="lv-LV"/>
              </w:rPr>
              <w:t>95</w:t>
            </w:r>
          </w:p>
        </w:tc>
      </w:tr>
      <w:tr w:rsidR="000C7BC1" w:rsidRPr="00CF1CFA" w14:paraId="10EC9A26" w14:textId="77777777" w:rsidTr="000C7BC1">
        <w:trPr>
          <w:trHeight w:val="420"/>
        </w:trPr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659D" w14:textId="77777777" w:rsidR="0004018B" w:rsidRPr="00CF1CFA" w:rsidRDefault="0004018B" w:rsidP="00217313">
            <w:pPr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CF1CFA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KOPĀ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E79D" w14:textId="77777777" w:rsidR="0004018B" w:rsidRPr="00CF1CFA" w:rsidRDefault="0004018B" w:rsidP="000C7BC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CF1CFA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1676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58FC" w14:textId="77777777" w:rsidR="0004018B" w:rsidRPr="00CF1CFA" w:rsidRDefault="0004018B" w:rsidP="000C7BC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CF1CFA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1754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AB6A" w14:textId="77777777" w:rsidR="0004018B" w:rsidRPr="00CF1CFA" w:rsidRDefault="0004018B" w:rsidP="000C7BC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CF1CFA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1823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E29D" w14:textId="77777777" w:rsidR="0004018B" w:rsidRPr="00CF1CFA" w:rsidRDefault="0004018B" w:rsidP="000C7BC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CF1CFA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2009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8A76" w14:textId="77777777" w:rsidR="0004018B" w:rsidRPr="00CF1CFA" w:rsidRDefault="0004018B" w:rsidP="000C7BC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CF1CFA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2334</w:t>
            </w:r>
          </w:p>
        </w:tc>
      </w:tr>
    </w:tbl>
    <w:p w14:paraId="5FE27001" w14:textId="77777777" w:rsidR="0004018B" w:rsidRDefault="0004018B" w:rsidP="0004018B">
      <w:pPr>
        <w:pStyle w:val="ListParagraph"/>
        <w:jc w:val="both"/>
        <w:rPr>
          <w:i/>
        </w:rPr>
      </w:pPr>
    </w:p>
    <w:p w14:paraId="0CEFCC27" w14:textId="2339CA30" w:rsidR="0004018B" w:rsidRDefault="00D85891" w:rsidP="0004018B">
      <w:pPr>
        <w:pStyle w:val="ListParagraph"/>
        <w:jc w:val="both"/>
        <w:rPr>
          <w:i/>
        </w:rPr>
      </w:pPr>
      <w:r>
        <w:rPr>
          <w:i/>
        </w:rPr>
        <w:t>1</w:t>
      </w:r>
      <w:r w:rsidR="0004018B" w:rsidRPr="0041250E">
        <w:rPr>
          <w:i/>
        </w:rPr>
        <w:t xml:space="preserve">.attēls </w:t>
      </w:r>
      <w:r w:rsidR="0004018B" w:rsidRPr="002648C2">
        <w:rPr>
          <w:i/>
        </w:rPr>
        <w:t xml:space="preserve">Dienas stacionāra pacientu skaits un sadalījums pa profiliem dinamikā laika periodā no 2015. - 2019. </w:t>
      </w:r>
      <w:r w:rsidR="0004018B">
        <w:rPr>
          <w:i/>
        </w:rPr>
        <w:t>g</w:t>
      </w:r>
      <w:r w:rsidR="0004018B" w:rsidRPr="002648C2">
        <w:rPr>
          <w:i/>
        </w:rPr>
        <w:t>adam</w:t>
      </w:r>
    </w:p>
    <w:p w14:paraId="182BEE7B" w14:textId="77777777" w:rsidR="004B12B1" w:rsidRDefault="004B12B1" w:rsidP="004B12B1">
      <w:pPr>
        <w:spacing w:after="200" w:line="276" w:lineRule="auto"/>
        <w:ind w:firstLine="0"/>
        <w:jc w:val="right"/>
      </w:pPr>
    </w:p>
    <w:p w14:paraId="0FE72B77" w14:textId="77777777" w:rsidR="004B12B1" w:rsidRDefault="004B12B1" w:rsidP="004B12B1">
      <w:pPr>
        <w:spacing w:after="200" w:line="276" w:lineRule="auto"/>
        <w:ind w:firstLine="0"/>
        <w:jc w:val="right"/>
      </w:pPr>
    </w:p>
    <w:p w14:paraId="2D4B45BA" w14:textId="77777777" w:rsidR="004B12B1" w:rsidRDefault="004B12B1" w:rsidP="004B12B1">
      <w:pPr>
        <w:spacing w:after="200" w:line="276" w:lineRule="auto"/>
        <w:ind w:firstLine="0"/>
        <w:jc w:val="right"/>
      </w:pPr>
    </w:p>
    <w:p w14:paraId="729D18CF" w14:textId="69A1A46B" w:rsidR="00D85891" w:rsidRDefault="00D85891" w:rsidP="004B12B1">
      <w:pPr>
        <w:spacing w:after="200" w:line="276" w:lineRule="auto"/>
        <w:ind w:firstLine="0"/>
        <w:jc w:val="right"/>
      </w:pPr>
    </w:p>
    <w:p w14:paraId="792D9DF8" w14:textId="66123205" w:rsidR="000C7BC1" w:rsidRDefault="000C7BC1" w:rsidP="004B12B1">
      <w:pPr>
        <w:spacing w:after="200" w:line="276" w:lineRule="auto"/>
        <w:ind w:firstLine="0"/>
        <w:jc w:val="right"/>
      </w:pPr>
    </w:p>
    <w:p w14:paraId="6315DEA1" w14:textId="590AA725" w:rsidR="000C7BC1" w:rsidRDefault="000C7BC1" w:rsidP="004B12B1">
      <w:pPr>
        <w:spacing w:after="200" w:line="276" w:lineRule="auto"/>
        <w:ind w:firstLine="0"/>
        <w:jc w:val="right"/>
      </w:pPr>
    </w:p>
    <w:p w14:paraId="08BB1C6C" w14:textId="77777777" w:rsidR="000C7BC1" w:rsidRDefault="000C7BC1" w:rsidP="004B12B1">
      <w:pPr>
        <w:spacing w:after="200" w:line="276" w:lineRule="auto"/>
        <w:ind w:firstLine="0"/>
        <w:jc w:val="right"/>
      </w:pPr>
    </w:p>
    <w:p w14:paraId="1F932C4C" w14:textId="7B0E6747" w:rsidR="00BA6804" w:rsidRDefault="00BA6804" w:rsidP="004B12B1">
      <w:pPr>
        <w:spacing w:after="200" w:line="276" w:lineRule="auto"/>
        <w:ind w:firstLine="0"/>
        <w:jc w:val="right"/>
      </w:pPr>
      <w:r>
        <w:lastRenderedPageBreak/>
        <w:t>3.pielikums</w:t>
      </w:r>
    </w:p>
    <w:p w14:paraId="05A235F3" w14:textId="5A5D1C7B" w:rsidR="004B12B1" w:rsidRDefault="004B12B1" w:rsidP="004B12B1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Stacionāra</w:t>
      </w:r>
      <w:r w:rsidRPr="0041250E">
        <w:rPr>
          <w:b/>
          <w:sz w:val="28"/>
          <w:szCs w:val="28"/>
        </w:rPr>
        <w:t xml:space="preserve"> darba rādītāji</w:t>
      </w:r>
      <w:r>
        <w:rPr>
          <w:b/>
          <w:sz w:val="28"/>
          <w:szCs w:val="28"/>
        </w:rPr>
        <w:t xml:space="preserve"> 2015-2019.gads</w:t>
      </w:r>
    </w:p>
    <w:p w14:paraId="4D1B1329" w14:textId="77777777" w:rsidR="004B12B1" w:rsidRDefault="004B12B1" w:rsidP="004B12B1">
      <w:pPr>
        <w:spacing w:after="200" w:line="276" w:lineRule="auto"/>
        <w:ind w:firstLine="0"/>
        <w:jc w:val="center"/>
      </w:pPr>
    </w:p>
    <w:p w14:paraId="3C0AC145" w14:textId="1523E275" w:rsidR="004B12B1" w:rsidRDefault="004B12B1" w:rsidP="004B12B1">
      <w:pPr>
        <w:spacing w:after="200" w:line="276" w:lineRule="auto"/>
        <w:ind w:firstLine="0"/>
        <w:jc w:val="right"/>
      </w:pPr>
      <w:r w:rsidRPr="00C251CF">
        <w:rPr>
          <w:rFonts w:cs="Times New Roman"/>
          <w:b/>
          <w:noProof/>
          <w:sz w:val="28"/>
          <w:szCs w:val="28"/>
          <w:lang w:val="en-GB" w:eastAsia="en-GB"/>
        </w:rPr>
        <w:drawing>
          <wp:inline distT="0" distB="0" distL="0" distR="0" wp14:anchorId="746334B7" wp14:editId="1CEA37F5">
            <wp:extent cx="5712239" cy="3861794"/>
            <wp:effectExtent l="19050" t="0" r="21811" b="5356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94783C3" w14:textId="7698AD0A" w:rsidR="004B12B1" w:rsidRDefault="004B12B1" w:rsidP="004B12B1">
      <w:pPr>
        <w:pStyle w:val="ListParagraph"/>
        <w:jc w:val="both"/>
        <w:rPr>
          <w:i/>
        </w:rPr>
      </w:pPr>
      <w:r>
        <w:rPr>
          <w:i/>
        </w:rPr>
        <w:t>1</w:t>
      </w:r>
      <w:r w:rsidRPr="0041250E">
        <w:rPr>
          <w:i/>
        </w:rPr>
        <w:t xml:space="preserve">.attēls </w:t>
      </w:r>
      <w:r>
        <w:rPr>
          <w:i/>
        </w:rPr>
        <w:t xml:space="preserve"> Stacionārā ārstēto pacientu skaits </w:t>
      </w:r>
      <w:r w:rsidRPr="0041250E">
        <w:rPr>
          <w:i/>
        </w:rPr>
        <w:t>dinamikā laika periodā no 2015. – 2019.gadam</w:t>
      </w:r>
    </w:p>
    <w:p w14:paraId="5A334E1E" w14:textId="77777777" w:rsidR="002B1A74" w:rsidRDefault="002B1A74" w:rsidP="004B12B1">
      <w:pPr>
        <w:pStyle w:val="ListParagraph"/>
        <w:jc w:val="both"/>
        <w:rPr>
          <w:i/>
        </w:rPr>
      </w:pPr>
    </w:p>
    <w:tbl>
      <w:tblPr>
        <w:tblW w:w="8669" w:type="dxa"/>
        <w:tblInd w:w="959" w:type="dxa"/>
        <w:tblLook w:val="04A0" w:firstRow="1" w:lastRow="0" w:firstColumn="1" w:lastColumn="0" w:noHBand="0" w:noVBand="1"/>
      </w:tblPr>
      <w:tblGrid>
        <w:gridCol w:w="2624"/>
        <w:gridCol w:w="1209"/>
        <w:gridCol w:w="1209"/>
        <w:gridCol w:w="1209"/>
        <w:gridCol w:w="1209"/>
        <w:gridCol w:w="1209"/>
      </w:tblGrid>
      <w:tr w:rsidR="004B12B1" w:rsidRPr="00EC6BCF" w14:paraId="127185C8" w14:textId="77777777" w:rsidTr="002B1A74">
        <w:trPr>
          <w:trHeight w:val="459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5EFE" w14:textId="77777777" w:rsidR="004B12B1" w:rsidRPr="00EC6BCF" w:rsidRDefault="004B12B1" w:rsidP="004B12B1">
            <w:pPr>
              <w:ind w:firstLine="0"/>
              <w:rPr>
                <w:rFonts w:eastAsia="Times New Roman" w:cs="Times New Roman"/>
                <w:color w:val="000000"/>
                <w:lang w:eastAsia="lv-LV"/>
              </w:rPr>
            </w:pPr>
            <w:r>
              <w:rPr>
                <w:rFonts w:eastAsia="Times New Roman" w:cs="Times New Roman"/>
                <w:color w:val="000000"/>
                <w:lang w:eastAsia="lv-LV"/>
              </w:rPr>
              <w:t>N</w:t>
            </w:r>
            <w:r w:rsidRPr="00EC6BCF">
              <w:rPr>
                <w:rFonts w:eastAsia="Times New Roman" w:cs="Times New Roman"/>
                <w:color w:val="000000"/>
                <w:lang w:eastAsia="lv-LV"/>
              </w:rPr>
              <w:t xml:space="preserve">odaļa / </w:t>
            </w:r>
            <w:r>
              <w:rPr>
                <w:rFonts w:eastAsia="Times New Roman" w:cs="Times New Roman"/>
                <w:color w:val="000000"/>
                <w:lang w:eastAsia="lv-LV"/>
              </w:rPr>
              <w:t xml:space="preserve">ārstēto </w:t>
            </w:r>
            <w:r w:rsidRPr="00EC6BCF">
              <w:rPr>
                <w:rFonts w:eastAsia="Times New Roman" w:cs="Times New Roman"/>
                <w:color w:val="000000"/>
                <w:lang w:eastAsia="lv-LV"/>
              </w:rPr>
              <w:t xml:space="preserve">pacientu skaits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1762" w14:textId="77777777" w:rsidR="004B12B1" w:rsidRPr="00EC6BCF" w:rsidRDefault="004B12B1" w:rsidP="004B12B1">
            <w:pPr>
              <w:ind w:firstLine="0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2015.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CDA9" w14:textId="77777777" w:rsidR="004B12B1" w:rsidRPr="00EC6BCF" w:rsidRDefault="004B12B1" w:rsidP="004B12B1">
            <w:pPr>
              <w:ind w:firstLine="0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2016.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BC09" w14:textId="77777777" w:rsidR="004B12B1" w:rsidRPr="00EC6BCF" w:rsidRDefault="004B12B1" w:rsidP="004B12B1">
            <w:pPr>
              <w:ind w:firstLine="0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2017.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97D7" w14:textId="77777777" w:rsidR="004B12B1" w:rsidRPr="00EC6BCF" w:rsidRDefault="004B12B1" w:rsidP="004B12B1">
            <w:pPr>
              <w:ind w:firstLine="0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2018.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BC2A" w14:textId="77777777" w:rsidR="004B12B1" w:rsidRPr="00EC6BCF" w:rsidRDefault="004B12B1" w:rsidP="004B12B1">
            <w:pPr>
              <w:ind w:firstLine="0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2019.</w:t>
            </w:r>
          </w:p>
        </w:tc>
      </w:tr>
      <w:tr w:rsidR="004B12B1" w:rsidRPr="00EC6BCF" w14:paraId="54A05A63" w14:textId="77777777" w:rsidTr="002B1A74">
        <w:trPr>
          <w:trHeight w:val="25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25FA23" w14:textId="77777777" w:rsidR="004B12B1" w:rsidRPr="00EC6BCF" w:rsidRDefault="004B12B1" w:rsidP="00217313">
            <w:pPr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 xml:space="preserve">1. Terapijas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F9D832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943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E7DAF2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884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73528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808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EFEB3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853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8DD139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75</w:t>
            </w:r>
            <w:r>
              <w:rPr>
                <w:rFonts w:eastAsia="Times New Roman" w:cs="Times New Roman"/>
                <w:color w:val="000000"/>
                <w:lang w:eastAsia="lv-LV"/>
              </w:rPr>
              <w:t>6</w:t>
            </w:r>
          </w:p>
        </w:tc>
      </w:tr>
      <w:tr w:rsidR="004B12B1" w:rsidRPr="00EC6BCF" w14:paraId="0F7AC6D2" w14:textId="77777777" w:rsidTr="002B1A74">
        <w:trPr>
          <w:trHeight w:val="25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86A46" w14:textId="77777777" w:rsidR="004B12B1" w:rsidRPr="00EC6BCF" w:rsidRDefault="004B12B1" w:rsidP="00217313">
            <w:pPr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 xml:space="preserve">2. Terapijas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D1BEE6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861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52B44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803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A97B89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851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F51A93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808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95124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783</w:t>
            </w:r>
          </w:p>
        </w:tc>
      </w:tr>
      <w:tr w:rsidR="004B12B1" w:rsidRPr="00EC6BCF" w14:paraId="55894C14" w14:textId="77777777" w:rsidTr="002B1A74">
        <w:trPr>
          <w:trHeight w:val="25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2A199D" w14:textId="77777777" w:rsidR="004B12B1" w:rsidRPr="00EC6BCF" w:rsidRDefault="004B12B1" w:rsidP="00217313">
            <w:pPr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Ķirurģijas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258623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1404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97A7FC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1586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143C05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1502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F84F9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1490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AD39A6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1508</w:t>
            </w:r>
          </w:p>
        </w:tc>
      </w:tr>
      <w:tr w:rsidR="004B12B1" w:rsidRPr="00EC6BCF" w14:paraId="4CCB92DD" w14:textId="77777777" w:rsidTr="002B1A74">
        <w:trPr>
          <w:trHeight w:val="25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386CA4" w14:textId="77777777" w:rsidR="004B12B1" w:rsidRPr="00EC6BCF" w:rsidRDefault="004B12B1" w:rsidP="00217313">
            <w:pPr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 xml:space="preserve">Traumatoloģijas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AC8D19" w14:textId="77777777" w:rsidR="004B12B1" w:rsidRPr="00EC6BCF" w:rsidRDefault="004B12B1" w:rsidP="002B1A74">
            <w:pPr>
              <w:ind w:firstLine="0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1156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DB06E" w14:textId="77777777" w:rsidR="004B12B1" w:rsidRPr="00EC6BCF" w:rsidRDefault="004B12B1" w:rsidP="002B1A74">
            <w:pPr>
              <w:ind w:firstLine="0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1065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63638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930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ACD0D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778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922DE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654</w:t>
            </w:r>
          </w:p>
        </w:tc>
      </w:tr>
      <w:tr w:rsidR="004B12B1" w:rsidRPr="00EC6BCF" w14:paraId="64F227BF" w14:textId="77777777" w:rsidTr="002B1A74">
        <w:trPr>
          <w:trHeight w:val="25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DF7A3" w14:textId="77777777" w:rsidR="004B12B1" w:rsidRPr="00EC6BCF" w:rsidRDefault="004B12B1" w:rsidP="00217313">
            <w:pPr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LOR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1E967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290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83EF4E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257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069D6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265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69232B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198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6D5BB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200</w:t>
            </w:r>
          </w:p>
        </w:tc>
      </w:tr>
      <w:tr w:rsidR="004B12B1" w:rsidRPr="00EC6BCF" w14:paraId="7C9F6538" w14:textId="77777777" w:rsidTr="002B1A74">
        <w:trPr>
          <w:trHeight w:val="25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BA8CC" w14:textId="77777777" w:rsidR="004B12B1" w:rsidRPr="00EC6BCF" w:rsidRDefault="004B12B1" w:rsidP="00217313">
            <w:pPr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Ginekoloģijas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76EDA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1102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48BBE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1058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1DD19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1040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5C09A3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1084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EA67DD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1200</w:t>
            </w:r>
          </w:p>
        </w:tc>
      </w:tr>
      <w:tr w:rsidR="004B12B1" w:rsidRPr="00EC6BCF" w14:paraId="3FB63F19" w14:textId="77777777" w:rsidTr="002B1A74">
        <w:trPr>
          <w:trHeight w:val="25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B10AE" w14:textId="77777777" w:rsidR="004B12B1" w:rsidRPr="00EC6BCF" w:rsidRDefault="004B12B1" w:rsidP="00217313">
            <w:pPr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Dzemdību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BB9615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742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9B0A5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847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A7E17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838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3EB28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660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13D37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754</w:t>
            </w:r>
          </w:p>
        </w:tc>
      </w:tr>
      <w:tr w:rsidR="004B12B1" w:rsidRPr="00EC6BCF" w14:paraId="100E7D7F" w14:textId="77777777" w:rsidTr="002B1A74">
        <w:trPr>
          <w:trHeight w:val="25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F6CEF" w14:textId="77777777" w:rsidR="004B12B1" w:rsidRPr="00EC6BCF" w:rsidRDefault="004B12B1" w:rsidP="00217313">
            <w:pPr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 xml:space="preserve">Bērnu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22F845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681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B5B09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701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005EBC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652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F0C85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722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002F6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720</w:t>
            </w:r>
          </w:p>
        </w:tc>
      </w:tr>
      <w:tr w:rsidR="004B12B1" w:rsidRPr="00EC6BCF" w14:paraId="4D999924" w14:textId="77777777" w:rsidTr="002B1A74">
        <w:trPr>
          <w:trHeight w:val="25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F13AB8" w14:textId="77777777" w:rsidR="004B12B1" w:rsidRPr="00EC6BCF" w:rsidRDefault="004B12B1" w:rsidP="00217313">
            <w:pPr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proofErr w:type="spellStart"/>
            <w:r w:rsidRPr="00EC6BCF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Tuberkolozes</w:t>
            </w:r>
            <w:proofErr w:type="spellEnd"/>
            <w:r w:rsidRPr="00EC6BCF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6668E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89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93AE3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92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5067D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119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68BBB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115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0B3FC0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98</w:t>
            </w:r>
          </w:p>
        </w:tc>
      </w:tr>
      <w:tr w:rsidR="004B12B1" w:rsidRPr="00EC6BCF" w14:paraId="52C2CEA5" w14:textId="77777777" w:rsidTr="002B1A74">
        <w:trPr>
          <w:trHeight w:val="25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4E59A" w14:textId="77777777" w:rsidR="004B12B1" w:rsidRPr="00EC6BCF" w:rsidRDefault="004B12B1" w:rsidP="00217313">
            <w:pPr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Infekciju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91186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523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620D95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504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FE70B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564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3F69A3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528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4677B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520</w:t>
            </w:r>
          </w:p>
        </w:tc>
      </w:tr>
      <w:tr w:rsidR="004B12B1" w:rsidRPr="00EC6BCF" w14:paraId="04C03175" w14:textId="77777777" w:rsidTr="002B1A74">
        <w:trPr>
          <w:trHeight w:val="25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E7E8A" w14:textId="77777777" w:rsidR="004B12B1" w:rsidRPr="00EC6BCF" w:rsidRDefault="004B12B1" w:rsidP="00217313">
            <w:pPr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 xml:space="preserve">Infekciju - Bērnu  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C92B82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707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6D69E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648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454AD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542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12C44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605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C081F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631</w:t>
            </w:r>
          </w:p>
        </w:tc>
      </w:tr>
      <w:tr w:rsidR="004B12B1" w:rsidRPr="00EC6BCF" w14:paraId="64B20398" w14:textId="77777777" w:rsidTr="002B1A74">
        <w:trPr>
          <w:trHeight w:val="25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35FEB7" w14:textId="77777777" w:rsidR="004B12B1" w:rsidRPr="00EC6BCF" w:rsidRDefault="004B12B1" w:rsidP="00217313">
            <w:pPr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 xml:space="preserve">Uroloģijas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98893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709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93DEE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707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4994B9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437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DB5F10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473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DACB33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474</w:t>
            </w:r>
          </w:p>
        </w:tc>
      </w:tr>
      <w:tr w:rsidR="004B12B1" w:rsidRPr="00EC6BCF" w14:paraId="16000993" w14:textId="77777777" w:rsidTr="002B1A74">
        <w:trPr>
          <w:trHeight w:val="25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0D489" w14:textId="77777777" w:rsidR="004B12B1" w:rsidRPr="00EC6BCF" w:rsidRDefault="004B12B1" w:rsidP="00217313">
            <w:pPr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 xml:space="preserve">Neiroloģijas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264370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61E52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748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F5E25E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654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F9FAEC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684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C3A94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653</w:t>
            </w:r>
          </w:p>
        </w:tc>
      </w:tr>
      <w:tr w:rsidR="004B12B1" w:rsidRPr="00EC6BCF" w14:paraId="7F84F877" w14:textId="77777777" w:rsidTr="002B1A74">
        <w:trPr>
          <w:trHeight w:val="25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7BFCA9" w14:textId="77777777" w:rsidR="004B12B1" w:rsidRPr="00EC6BCF" w:rsidRDefault="004B12B1" w:rsidP="00217313">
            <w:pPr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 xml:space="preserve">PAC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9891F9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250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4C83C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251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28A47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253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1F8F9A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227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4B733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264</w:t>
            </w:r>
          </w:p>
        </w:tc>
      </w:tr>
      <w:tr w:rsidR="004B12B1" w:rsidRPr="00EC6BCF" w14:paraId="1026589E" w14:textId="77777777" w:rsidTr="002B1A74">
        <w:trPr>
          <w:trHeight w:val="25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CDE60" w14:textId="77777777" w:rsidR="004B12B1" w:rsidRPr="00EC6BCF" w:rsidRDefault="004B12B1" w:rsidP="00217313">
            <w:pPr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 xml:space="preserve">Reanimācijas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BC724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155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387BE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139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FB71CA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164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956A2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161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D4F41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174</w:t>
            </w:r>
          </w:p>
        </w:tc>
      </w:tr>
      <w:tr w:rsidR="004B12B1" w:rsidRPr="00EC6BCF" w14:paraId="36A0BF8A" w14:textId="77777777" w:rsidTr="002B1A74">
        <w:trPr>
          <w:trHeight w:val="25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225D5F" w14:textId="77777777" w:rsidR="004B12B1" w:rsidRPr="00EC6BCF" w:rsidRDefault="004B12B1" w:rsidP="002B1A74">
            <w:pPr>
              <w:ind w:firstLine="0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 xml:space="preserve">Paliatīvās aprūpes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64D34B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A8630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CAC425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D377B6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46AC4" w14:textId="77777777" w:rsidR="004B12B1" w:rsidRPr="00EC6BCF" w:rsidRDefault="004B12B1" w:rsidP="00217313">
            <w:pPr>
              <w:jc w:val="right"/>
              <w:rPr>
                <w:rFonts w:eastAsia="Times New Roman" w:cs="Times New Roman"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color w:val="000000"/>
                <w:lang w:eastAsia="lv-LV"/>
              </w:rPr>
              <w:t>19</w:t>
            </w:r>
          </w:p>
        </w:tc>
      </w:tr>
      <w:tr w:rsidR="004B12B1" w:rsidRPr="00EC6BCF" w14:paraId="13A68EC0" w14:textId="77777777" w:rsidTr="002B1A74">
        <w:trPr>
          <w:trHeight w:val="25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DEE8" w14:textId="77777777" w:rsidR="004B12B1" w:rsidRPr="00EC6BCF" w:rsidRDefault="004B12B1" w:rsidP="00217313">
            <w:pPr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58F4" w14:textId="77777777" w:rsidR="004B12B1" w:rsidRPr="00EC6BCF" w:rsidRDefault="004B12B1" w:rsidP="004B12B1">
            <w:pPr>
              <w:ind w:firstLine="0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10412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46FB" w14:textId="77777777" w:rsidR="004B12B1" w:rsidRPr="00EC6BCF" w:rsidRDefault="004B12B1" w:rsidP="004B12B1">
            <w:pPr>
              <w:ind w:firstLine="0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10290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E9D1" w14:textId="77777777" w:rsidR="004B12B1" w:rsidRPr="00EC6BCF" w:rsidRDefault="004B12B1" w:rsidP="004B12B1">
            <w:pPr>
              <w:ind w:firstLine="0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9619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EC30" w14:textId="77777777" w:rsidR="004B12B1" w:rsidRPr="00EC6BCF" w:rsidRDefault="004B12B1" w:rsidP="004B12B1">
            <w:pPr>
              <w:ind w:firstLine="0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9392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D18A" w14:textId="77777777" w:rsidR="004B12B1" w:rsidRPr="00EC6BCF" w:rsidRDefault="004B12B1" w:rsidP="004B12B1">
            <w:pPr>
              <w:ind w:firstLine="0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EC6BCF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94</w:t>
            </w:r>
            <w:r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08</w:t>
            </w:r>
          </w:p>
        </w:tc>
      </w:tr>
    </w:tbl>
    <w:p w14:paraId="1152F9A1" w14:textId="77777777" w:rsidR="004B12B1" w:rsidRDefault="004B12B1" w:rsidP="004B12B1">
      <w:pPr>
        <w:spacing w:after="200" w:line="276" w:lineRule="auto"/>
        <w:ind w:firstLine="0"/>
        <w:jc w:val="right"/>
      </w:pPr>
    </w:p>
    <w:p w14:paraId="5B6DC320" w14:textId="77777777" w:rsidR="00151F1D" w:rsidRDefault="00BA6804" w:rsidP="00151F1D">
      <w:pPr>
        <w:ind w:firstLine="0"/>
        <w:jc w:val="right"/>
      </w:pPr>
      <w:r>
        <w:lastRenderedPageBreak/>
        <w:t>4</w:t>
      </w:r>
      <w:r w:rsidR="00151F1D">
        <w:t xml:space="preserve">.pielikums </w:t>
      </w:r>
    </w:p>
    <w:p w14:paraId="0BC4A22C" w14:textId="77777777" w:rsidR="00151F1D" w:rsidRDefault="00151F1D" w:rsidP="00151F1D">
      <w:pPr>
        <w:spacing w:after="120"/>
        <w:jc w:val="center"/>
        <w:outlineLvl w:val="0"/>
        <w:rPr>
          <w:b/>
          <w:bCs/>
        </w:rPr>
      </w:pPr>
    </w:p>
    <w:p w14:paraId="5B22EEE1" w14:textId="77777777" w:rsidR="00D85891" w:rsidRDefault="00D85891" w:rsidP="00D85891">
      <w:pPr>
        <w:spacing w:after="120"/>
        <w:jc w:val="center"/>
        <w:outlineLvl w:val="0"/>
        <w:rPr>
          <w:rFonts w:cs="Times New Roman"/>
          <w:b/>
          <w:bCs/>
          <w:szCs w:val="24"/>
        </w:rPr>
      </w:pPr>
      <w:r w:rsidRPr="00D13E2F">
        <w:rPr>
          <w:rFonts w:cs="Times New Roman"/>
          <w:b/>
          <w:bCs/>
          <w:szCs w:val="24"/>
        </w:rPr>
        <w:t>Pārskats par rindas garumu plānveida ambulatoro pakalpojumu saņemšanai</w:t>
      </w:r>
    </w:p>
    <w:p w14:paraId="66331237" w14:textId="77777777" w:rsidR="00D85891" w:rsidRDefault="00D85891" w:rsidP="00D85891">
      <w:pPr>
        <w:spacing w:after="120"/>
        <w:jc w:val="center"/>
        <w:outlineLvl w:val="0"/>
        <w:rPr>
          <w:rFonts w:cs="Times New Roman"/>
          <w:b/>
          <w:bCs/>
          <w:szCs w:val="24"/>
        </w:rPr>
      </w:pPr>
      <w:r w:rsidRPr="00D13E2F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</w:rPr>
        <w:t xml:space="preserve">2015. un 2019.gados </w:t>
      </w:r>
    </w:p>
    <w:p w14:paraId="504EB813" w14:textId="77777777" w:rsidR="00D85891" w:rsidRPr="009711B9" w:rsidRDefault="00D85891" w:rsidP="00D85891">
      <w:pPr>
        <w:spacing w:after="120"/>
        <w:ind w:left="6480" w:firstLine="720"/>
        <w:outlineLvl w:val="0"/>
        <w:rPr>
          <w:rFonts w:cs="Times New Roman"/>
          <w:bCs/>
          <w:szCs w:val="24"/>
        </w:rPr>
      </w:pPr>
    </w:p>
    <w:tbl>
      <w:tblPr>
        <w:tblW w:w="6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1518"/>
        <w:gridCol w:w="1519"/>
      </w:tblGrid>
      <w:tr w:rsidR="00D85891" w:rsidRPr="00AE4350" w14:paraId="61C18112" w14:textId="77777777" w:rsidTr="00217313">
        <w:trPr>
          <w:trHeight w:val="245"/>
          <w:jc w:val="center"/>
        </w:trPr>
        <w:tc>
          <w:tcPr>
            <w:tcW w:w="3134" w:type="dxa"/>
            <w:vMerge w:val="restart"/>
            <w:shd w:val="clear" w:color="auto" w:fill="auto"/>
            <w:vAlign w:val="center"/>
            <w:hideMark/>
          </w:tcPr>
          <w:p w14:paraId="76F8808C" w14:textId="77777777" w:rsidR="00D85891" w:rsidRPr="00AE4350" w:rsidRDefault="00D85891" w:rsidP="00217313">
            <w:pPr>
              <w:jc w:val="center"/>
              <w:rPr>
                <w:rFonts w:cs="Times New Roman"/>
                <w:szCs w:val="24"/>
              </w:rPr>
            </w:pPr>
            <w:r w:rsidRPr="00AE4350">
              <w:rPr>
                <w:rFonts w:cs="Times New Roman"/>
                <w:szCs w:val="24"/>
              </w:rPr>
              <w:t>Veselības aprūpes pakalpojuma veidi</w:t>
            </w:r>
          </w:p>
        </w:tc>
        <w:tc>
          <w:tcPr>
            <w:tcW w:w="3037" w:type="dxa"/>
            <w:gridSpan w:val="2"/>
            <w:shd w:val="clear" w:color="auto" w:fill="auto"/>
            <w:noWrap/>
            <w:vAlign w:val="center"/>
            <w:hideMark/>
          </w:tcPr>
          <w:p w14:paraId="36687E49" w14:textId="77777777" w:rsidR="00D85891" w:rsidRPr="00AE4350" w:rsidRDefault="00D85891" w:rsidP="00217313">
            <w:pPr>
              <w:jc w:val="center"/>
              <w:rPr>
                <w:rFonts w:cs="Times New Roman"/>
                <w:szCs w:val="24"/>
              </w:rPr>
            </w:pPr>
            <w:r w:rsidRPr="00AE4350">
              <w:rPr>
                <w:rFonts w:cs="Times New Roman"/>
                <w:szCs w:val="24"/>
              </w:rPr>
              <w:t>Pacientiem gaidīšanas laiks rindā (dienas)</w:t>
            </w:r>
          </w:p>
        </w:tc>
      </w:tr>
      <w:tr w:rsidR="00D85891" w:rsidRPr="00AE4350" w14:paraId="61C48E88" w14:textId="77777777" w:rsidTr="00217313">
        <w:trPr>
          <w:trHeight w:val="245"/>
          <w:jc w:val="center"/>
        </w:trPr>
        <w:tc>
          <w:tcPr>
            <w:tcW w:w="3134" w:type="dxa"/>
            <w:vMerge/>
            <w:shd w:val="clear" w:color="auto" w:fill="auto"/>
            <w:vAlign w:val="center"/>
          </w:tcPr>
          <w:p w14:paraId="5781857A" w14:textId="77777777" w:rsidR="00D85891" w:rsidRPr="00AE4350" w:rsidRDefault="00D85891" w:rsidP="0021731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14:paraId="1EEA6F6A" w14:textId="77777777" w:rsidR="00D85891" w:rsidRPr="00AE4350" w:rsidRDefault="00D85891" w:rsidP="0021731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2015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22C10409" w14:textId="77777777" w:rsidR="00D85891" w:rsidRPr="00AE4350" w:rsidRDefault="00D85891" w:rsidP="0021731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2019</w:t>
            </w:r>
          </w:p>
        </w:tc>
      </w:tr>
      <w:tr w:rsidR="00D85891" w:rsidRPr="00AE4350" w14:paraId="24890F87" w14:textId="77777777" w:rsidTr="00217313">
        <w:trPr>
          <w:trHeight w:val="255"/>
          <w:jc w:val="center"/>
        </w:trPr>
        <w:tc>
          <w:tcPr>
            <w:tcW w:w="3134" w:type="dxa"/>
            <w:shd w:val="clear" w:color="auto" w:fill="auto"/>
            <w:vAlign w:val="bottom"/>
            <w:hideMark/>
          </w:tcPr>
          <w:p w14:paraId="4C9CD943" w14:textId="77777777" w:rsidR="00D85891" w:rsidRPr="00AE4350" w:rsidRDefault="00D85891" w:rsidP="00217313">
            <w:pPr>
              <w:rPr>
                <w:rFonts w:cs="Times New Roman"/>
                <w:szCs w:val="24"/>
              </w:rPr>
            </w:pPr>
            <w:r w:rsidRPr="00AE4350">
              <w:rPr>
                <w:rFonts w:cs="Times New Roman"/>
                <w:szCs w:val="24"/>
              </w:rPr>
              <w:t>Endokrinologs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14:paraId="3847C1B9" w14:textId="77777777" w:rsidR="00D85891" w:rsidRPr="004D0793" w:rsidRDefault="00D85891" w:rsidP="00217313">
            <w:pPr>
              <w:jc w:val="center"/>
              <w:rPr>
                <w:rFonts w:cs="Times New Roman"/>
                <w:szCs w:val="24"/>
              </w:rPr>
            </w:pPr>
            <w:r w:rsidRPr="004D0793">
              <w:rPr>
                <w:rFonts w:cs="Times New Roman"/>
                <w:szCs w:val="24"/>
              </w:rPr>
              <w:t>12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33DF9CA4" w14:textId="77777777" w:rsidR="00D85891" w:rsidRPr="00AE4350" w:rsidRDefault="00D85891" w:rsidP="0021731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</w:t>
            </w:r>
          </w:p>
        </w:tc>
      </w:tr>
      <w:tr w:rsidR="00D85891" w:rsidRPr="00AE4350" w14:paraId="1D6D0F59" w14:textId="77777777" w:rsidTr="00217313">
        <w:trPr>
          <w:trHeight w:val="255"/>
          <w:jc w:val="center"/>
        </w:trPr>
        <w:tc>
          <w:tcPr>
            <w:tcW w:w="3134" w:type="dxa"/>
            <w:shd w:val="clear" w:color="auto" w:fill="auto"/>
            <w:vAlign w:val="bottom"/>
            <w:hideMark/>
          </w:tcPr>
          <w:p w14:paraId="3925809D" w14:textId="77777777" w:rsidR="00D85891" w:rsidRPr="00AE4350" w:rsidRDefault="00D85891" w:rsidP="00217313">
            <w:pPr>
              <w:rPr>
                <w:rFonts w:cs="Times New Roman"/>
                <w:szCs w:val="24"/>
              </w:rPr>
            </w:pPr>
            <w:r w:rsidRPr="00AE4350">
              <w:rPr>
                <w:rFonts w:cs="Times New Roman"/>
                <w:szCs w:val="24"/>
              </w:rPr>
              <w:t>Ginekologs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14:paraId="6EC3E751" w14:textId="77777777" w:rsidR="00D85891" w:rsidRPr="004D0793" w:rsidRDefault="00D85891" w:rsidP="00217313">
            <w:pPr>
              <w:jc w:val="center"/>
              <w:rPr>
                <w:rFonts w:cs="Times New Roman"/>
                <w:szCs w:val="24"/>
              </w:rPr>
            </w:pPr>
            <w:r w:rsidRPr="004D0793">
              <w:rPr>
                <w:rFonts w:cs="Times New Roman"/>
                <w:szCs w:val="24"/>
              </w:rPr>
              <w:t>0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C8DF7EC" w14:textId="77777777" w:rsidR="00D85891" w:rsidRPr="00AE4350" w:rsidRDefault="00D85891" w:rsidP="0021731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</w:tr>
      <w:tr w:rsidR="00D85891" w:rsidRPr="00AE4350" w14:paraId="54549B59" w14:textId="77777777" w:rsidTr="00217313">
        <w:trPr>
          <w:trHeight w:val="255"/>
          <w:jc w:val="center"/>
        </w:trPr>
        <w:tc>
          <w:tcPr>
            <w:tcW w:w="3134" w:type="dxa"/>
            <w:shd w:val="clear" w:color="auto" w:fill="auto"/>
            <w:vAlign w:val="bottom"/>
            <w:hideMark/>
          </w:tcPr>
          <w:p w14:paraId="7BF2917C" w14:textId="77777777" w:rsidR="00D85891" w:rsidRPr="00AE4350" w:rsidRDefault="00D85891" w:rsidP="00217313">
            <w:pPr>
              <w:rPr>
                <w:rFonts w:cs="Times New Roman"/>
                <w:szCs w:val="24"/>
              </w:rPr>
            </w:pPr>
            <w:r w:rsidRPr="00AE4350">
              <w:rPr>
                <w:rFonts w:cs="Times New Roman"/>
                <w:szCs w:val="24"/>
              </w:rPr>
              <w:t>Kardiologs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14:paraId="23C43F2E" w14:textId="77777777" w:rsidR="00D85891" w:rsidRPr="004D0793" w:rsidRDefault="00D85891" w:rsidP="00217313">
            <w:pPr>
              <w:jc w:val="center"/>
              <w:rPr>
                <w:rFonts w:cs="Times New Roman"/>
                <w:szCs w:val="24"/>
              </w:rPr>
            </w:pPr>
            <w:r w:rsidRPr="004D0793">
              <w:rPr>
                <w:rFonts w:cs="Times New Roman"/>
                <w:szCs w:val="24"/>
              </w:rPr>
              <w:t>40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3AB88860" w14:textId="77777777" w:rsidR="00D85891" w:rsidRPr="00AE4350" w:rsidRDefault="00D85891" w:rsidP="0021731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</w:tr>
      <w:tr w:rsidR="00D85891" w:rsidRPr="00AE4350" w14:paraId="658B3FF9" w14:textId="77777777" w:rsidTr="00217313">
        <w:trPr>
          <w:trHeight w:val="255"/>
          <w:jc w:val="center"/>
        </w:trPr>
        <w:tc>
          <w:tcPr>
            <w:tcW w:w="3134" w:type="dxa"/>
            <w:shd w:val="clear" w:color="auto" w:fill="auto"/>
            <w:vAlign w:val="bottom"/>
            <w:hideMark/>
          </w:tcPr>
          <w:p w14:paraId="4CD88251" w14:textId="77777777" w:rsidR="00D85891" w:rsidRPr="00AE4350" w:rsidRDefault="00D85891" w:rsidP="00217313">
            <w:pPr>
              <w:rPr>
                <w:rFonts w:cs="Times New Roman"/>
                <w:szCs w:val="24"/>
              </w:rPr>
            </w:pPr>
            <w:r w:rsidRPr="00AE4350">
              <w:rPr>
                <w:rFonts w:cs="Times New Roman"/>
                <w:szCs w:val="24"/>
              </w:rPr>
              <w:t>Urologs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14:paraId="290C473A" w14:textId="77777777" w:rsidR="00D85891" w:rsidRPr="004D0793" w:rsidRDefault="00D85891" w:rsidP="00217313">
            <w:pPr>
              <w:jc w:val="center"/>
              <w:rPr>
                <w:rFonts w:cs="Times New Roman"/>
                <w:szCs w:val="24"/>
              </w:rPr>
            </w:pPr>
            <w:r w:rsidRPr="004D0793">
              <w:rPr>
                <w:rFonts w:cs="Times New Roman"/>
                <w:szCs w:val="24"/>
              </w:rPr>
              <w:t>50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571541D4" w14:textId="77777777" w:rsidR="00D85891" w:rsidRPr="00AE4350" w:rsidRDefault="00D85891" w:rsidP="0021731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</w:t>
            </w:r>
          </w:p>
        </w:tc>
      </w:tr>
      <w:tr w:rsidR="00D85891" w:rsidRPr="00AE4350" w14:paraId="69838EDC" w14:textId="77777777" w:rsidTr="00217313">
        <w:trPr>
          <w:trHeight w:val="255"/>
          <w:jc w:val="center"/>
        </w:trPr>
        <w:tc>
          <w:tcPr>
            <w:tcW w:w="3134" w:type="dxa"/>
            <w:shd w:val="clear" w:color="auto" w:fill="auto"/>
            <w:vAlign w:val="bottom"/>
            <w:hideMark/>
          </w:tcPr>
          <w:p w14:paraId="2A222B1F" w14:textId="77777777" w:rsidR="00D85891" w:rsidRPr="00AE4350" w:rsidRDefault="00D85891" w:rsidP="00217313">
            <w:pPr>
              <w:rPr>
                <w:rFonts w:cs="Times New Roman"/>
                <w:szCs w:val="24"/>
              </w:rPr>
            </w:pPr>
            <w:r w:rsidRPr="00AE4350">
              <w:rPr>
                <w:rFonts w:cs="Times New Roman"/>
                <w:szCs w:val="24"/>
              </w:rPr>
              <w:t>Nefrologs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14:paraId="7BDCFACE" w14:textId="77777777" w:rsidR="00D85891" w:rsidRPr="004D0793" w:rsidRDefault="00D85891" w:rsidP="00217313">
            <w:pPr>
              <w:jc w:val="center"/>
              <w:rPr>
                <w:rFonts w:cs="Times New Roman"/>
                <w:szCs w:val="24"/>
              </w:rPr>
            </w:pPr>
            <w:r w:rsidRPr="004D0793">
              <w:rPr>
                <w:rFonts w:cs="Times New Roman"/>
                <w:szCs w:val="24"/>
              </w:rPr>
              <w:t>88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78EBA07" w14:textId="77777777" w:rsidR="00D85891" w:rsidRPr="00AE4350" w:rsidRDefault="00D85891" w:rsidP="0021731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112</w:t>
            </w:r>
          </w:p>
        </w:tc>
      </w:tr>
      <w:tr w:rsidR="00D85891" w:rsidRPr="00AE4350" w14:paraId="5BD84746" w14:textId="77777777" w:rsidTr="00217313">
        <w:trPr>
          <w:trHeight w:val="255"/>
          <w:jc w:val="center"/>
        </w:trPr>
        <w:tc>
          <w:tcPr>
            <w:tcW w:w="3134" w:type="dxa"/>
            <w:shd w:val="clear" w:color="auto" w:fill="auto"/>
            <w:vAlign w:val="bottom"/>
            <w:hideMark/>
          </w:tcPr>
          <w:p w14:paraId="770C7279" w14:textId="77777777" w:rsidR="00D85891" w:rsidRPr="00AE4350" w:rsidRDefault="00D85891" w:rsidP="00217313">
            <w:pPr>
              <w:rPr>
                <w:rFonts w:cs="Times New Roman"/>
                <w:szCs w:val="24"/>
              </w:rPr>
            </w:pPr>
            <w:r w:rsidRPr="00AE4350">
              <w:rPr>
                <w:rFonts w:cs="Times New Roman"/>
                <w:szCs w:val="24"/>
              </w:rPr>
              <w:t>Datortomogrāfija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14:paraId="33908305" w14:textId="77777777" w:rsidR="00D85891" w:rsidRPr="004D0793" w:rsidRDefault="00D85891" w:rsidP="00217313">
            <w:pPr>
              <w:jc w:val="center"/>
              <w:rPr>
                <w:rFonts w:cs="Times New Roman"/>
                <w:szCs w:val="24"/>
              </w:rPr>
            </w:pPr>
            <w:r w:rsidRPr="004D0793">
              <w:rPr>
                <w:rFonts w:cs="Times New Roman"/>
                <w:szCs w:val="24"/>
              </w:rPr>
              <w:t>11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49FF226B" w14:textId="77777777" w:rsidR="00D85891" w:rsidRPr="00AE4350" w:rsidRDefault="00D85891" w:rsidP="0021731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</w:p>
        </w:tc>
      </w:tr>
      <w:tr w:rsidR="00D85891" w:rsidRPr="00AE4350" w14:paraId="44A1B850" w14:textId="77777777" w:rsidTr="00217313">
        <w:trPr>
          <w:trHeight w:val="255"/>
          <w:jc w:val="center"/>
        </w:trPr>
        <w:tc>
          <w:tcPr>
            <w:tcW w:w="3134" w:type="dxa"/>
            <w:shd w:val="clear" w:color="auto" w:fill="auto"/>
            <w:vAlign w:val="bottom"/>
            <w:hideMark/>
          </w:tcPr>
          <w:p w14:paraId="1333318F" w14:textId="77777777" w:rsidR="00D85891" w:rsidRPr="00AE4350" w:rsidRDefault="00D85891" w:rsidP="00217313">
            <w:pPr>
              <w:rPr>
                <w:rFonts w:cs="Times New Roman"/>
                <w:szCs w:val="24"/>
              </w:rPr>
            </w:pPr>
            <w:proofErr w:type="spellStart"/>
            <w:r w:rsidRPr="00AE4350">
              <w:rPr>
                <w:rFonts w:cs="Times New Roman"/>
                <w:szCs w:val="24"/>
              </w:rPr>
              <w:t>Ehokardiogrāfija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</w:tcPr>
          <w:p w14:paraId="2E00E85B" w14:textId="77777777" w:rsidR="00D85891" w:rsidRPr="004D0793" w:rsidRDefault="00D85891" w:rsidP="00217313">
            <w:pPr>
              <w:jc w:val="center"/>
              <w:rPr>
                <w:rFonts w:cs="Times New Roman"/>
                <w:szCs w:val="24"/>
              </w:rPr>
            </w:pPr>
            <w:r w:rsidRPr="004D0793">
              <w:rPr>
                <w:rFonts w:cs="Times New Roman"/>
                <w:szCs w:val="24"/>
              </w:rPr>
              <w:t>34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73DEC7BE" w14:textId="77777777" w:rsidR="00D85891" w:rsidRPr="00AE4350" w:rsidRDefault="00D85891" w:rsidP="0021731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121</w:t>
            </w:r>
          </w:p>
        </w:tc>
      </w:tr>
      <w:tr w:rsidR="00D85891" w:rsidRPr="00AE4350" w14:paraId="34B31461" w14:textId="77777777" w:rsidTr="00217313">
        <w:trPr>
          <w:trHeight w:val="255"/>
          <w:jc w:val="center"/>
        </w:trPr>
        <w:tc>
          <w:tcPr>
            <w:tcW w:w="3134" w:type="dxa"/>
            <w:shd w:val="clear" w:color="auto" w:fill="auto"/>
            <w:vAlign w:val="bottom"/>
            <w:hideMark/>
          </w:tcPr>
          <w:p w14:paraId="0B28AB4F" w14:textId="77777777" w:rsidR="00D85891" w:rsidRPr="00AE4350" w:rsidRDefault="00D85891" w:rsidP="00217313">
            <w:pPr>
              <w:rPr>
                <w:rFonts w:cs="Times New Roman"/>
                <w:szCs w:val="24"/>
              </w:rPr>
            </w:pPr>
            <w:proofErr w:type="spellStart"/>
            <w:r w:rsidRPr="00AE4350">
              <w:rPr>
                <w:rFonts w:cs="Times New Roman"/>
                <w:szCs w:val="24"/>
              </w:rPr>
              <w:t>Holtera</w:t>
            </w:r>
            <w:proofErr w:type="spellEnd"/>
            <w:r w:rsidRPr="00AE435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E4350">
              <w:rPr>
                <w:rFonts w:cs="Times New Roman"/>
                <w:szCs w:val="24"/>
              </w:rPr>
              <w:t>monitorēšana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</w:tcPr>
          <w:p w14:paraId="3240ABCC" w14:textId="77777777" w:rsidR="00D85891" w:rsidRPr="004D0793" w:rsidRDefault="00D85891" w:rsidP="00217313">
            <w:pPr>
              <w:jc w:val="center"/>
              <w:rPr>
                <w:rFonts w:cs="Times New Roman"/>
                <w:szCs w:val="24"/>
              </w:rPr>
            </w:pPr>
            <w:r w:rsidRPr="004D0793">
              <w:rPr>
                <w:rFonts w:cs="Times New Roman"/>
                <w:szCs w:val="24"/>
              </w:rPr>
              <w:t>80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760B907D" w14:textId="77777777" w:rsidR="00D85891" w:rsidRPr="00AE4350" w:rsidRDefault="00D85891" w:rsidP="0021731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110</w:t>
            </w:r>
          </w:p>
        </w:tc>
      </w:tr>
      <w:tr w:rsidR="00D85891" w:rsidRPr="00AE4350" w14:paraId="31CF630C" w14:textId="77777777" w:rsidTr="00217313">
        <w:trPr>
          <w:trHeight w:val="255"/>
          <w:jc w:val="center"/>
        </w:trPr>
        <w:tc>
          <w:tcPr>
            <w:tcW w:w="3134" w:type="dxa"/>
            <w:shd w:val="clear" w:color="auto" w:fill="auto"/>
            <w:vAlign w:val="bottom"/>
            <w:hideMark/>
          </w:tcPr>
          <w:p w14:paraId="5521A893" w14:textId="77777777" w:rsidR="00D85891" w:rsidRPr="00AE4350" w:rsidRDefault="00D85891" w:rsidP="00217313">
            <w:pPr>
              <w:rPr>
                <w:rFonts w:cs="Times New Roman"/>
                <w:szCs w:val="24"/>
              </w:rPr>
            </w:pPr>
            <w:proofErr w:type="spellStart"/>
            <w:r w:rsidRPr="00AE4350">
              <w:rPr>
                <w:rFonts w:cs="Times New Roman"/>
                <w:szCs w:val="24"/>
              </w:rPr>
              <w:t>Veloergometrija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</w:tcPr>
          <w:p w14:paraId="074CF95B" w14:textId="77777777" w:rsidR="00D85891" w:rsidRPr="004D0793" w:rsidRDefault="00D85891" w:rsidP="00217313">
            <w:pPr>
              <w:jc w:val="center"/>
              <w:rPr>
                <w:rFonts w:cs="Times New Roman"/>
                <w:szCs w:val="24"/>
              </w:rPr>
            </w:pPr>
            <w:r w:rsidRPr="004D0793">
              <w:rPr>
                <w:rFonts w:cs="Times New Roman"/>
                <w:szCs w:val="24"/>
              </w:rPr>
              <w:t>49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2F06C564" w14:textId="77777777" w:rsidR="00D85891" w:rsidRPr="00AE4350" w:rsidRDefault="00D85891" w:rsidP="0021731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98</w:t>
            </w:r>
          </w:p>
        </w:tc>
      </w:tr>
      <w:tr w:rsidR="00D85891" w:rsidRPr="00AE4350" w14:paraId="53815040" w14:textId="77777777" w:rsidTr="00217313">
        <w:trPr>
          <w:trHeight w:val="255"/>
          <w:jc w:val="center"/>
        </w:trPr>
        <w:tc>
          <w:tcPr>
            <w:tcW w:w="3134" w:type="dxa"/>
            <w:shd w:val="clear" w:color="auto" w:fill="auto"/>
            <w:vAlign w:val="bottom"/>
            <w:hideMark/>
          </w:tcPr>
          <w:p w14:paraId="7C179567" w14:textId="77777777" w:rsidR="00D85891" w:rsidRPr="00AE4350" w:rsidRDefault="00D85891" w:rsidP="00217313">
            <w:pPr>
              <w:rPr>
                <w:rFonts w:cs="Times New Roman"/>
                <w:szCs w:val="24"/>
              </w:rPr>
            </w:pPr>
            <w:r w:rsidRPr="00AE4350">
              <w:rPr>
                <w:rFonts w:cs="Times New Roman"/>
                <w:szCs w:val="24"/>
              </w:rPr>
              <w:t>Fibrogastroskopija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14:paraId="2FCB8CA7" w14:textId="77777777" w:rsidR="00D85891" w:rsidRPr="004D0793" w:rsidRDefault="00D85891" w:rsidP="00217313">
            <w:pPr>
              <w:jc w:val="center"/>
              <w:rPr>
                <w:rFonts w:cs="Times New Roman"/>
                <w:szCs w:val="24"/>
              </w:rPr>
            </w:pPr>
            <w:r w:rsidRPr="004D0793">
              <w:rPr>
                <w:rFonts w:cs="Times New Roman"/>
                <w:szCs w:val="24"/>
              </w:rPr>
              <w:t>12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2EDF9C70" w14:textId="77777777" w:rsidR="00D85891" w:rsidRPr="00AE4350" w:rsidRDefault="00D85891" w:rsidP="0021731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</w:p>
        </w:tc>
      </w:tr>
      <w:tr w:rsidR="00D85891" w:rsidRPr="00AE4350" w14:paraId="2851157A" w14:textId="77777777" w:rsidTr="00217313">
        <w:trPr>
          <w:trHeight w:val="255"/>
          <w:jc w:val="center"/>
        </w:trPr>
        <w:tc>
          <w:tcPr>
            <w:tcW w:w="3134" w:type="dxa"/>
            <w:shd w:val="clear" w:color="auto" w:fill="auto"/>
            <w:vAlign w:val="bottom"/>
            <w:hideMark/>
          </w:tcPr>
          <w:p w14:paraId="22F07FBE" w14:textId="77777777" w:rsidR="00D85891" w:rsidRPr="00AE4350" w:rsidRDefault="00D85891" w:rsidP="00217313">
            <w:pPr>
              <w:rPr>
                <w:rFonts w:cs="Times New Roman"/>
                <w:szCs w:val="24"/>
              </w:rPr>
            </w:pPr>
            <w:proofErr w:type="spellStart"/>
            <w:r w:rsidRPr="00AE4350">
              <w:rPr>
                <w:rFonts w:cs="Times New Roman"/>
                <w:szCs w:val="24"/>
              </w:rPr>
              <w:t>Osteodensitometrija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</w:tcPr>
          <w:p w14:paraId="7F61635A" w14:textId="77777777" w:rsidR="00D85891" w:rsidRPr="004D0793" w:rsidRDefault="00D85891" w:rsidP="00217313">
            <w:pPr>
              <w:jc w:val="center"/>
              <w:rPr>
                <w:rFonts w:cs="Times New Roman"/>
                <w:szCs w:val="24"/>
              </w:rPr>
            </w:pPr>
            <w:r w:rsidRPr="004D0793">
              <w:rPr>
                <w:rFonts w:cs="Times New Roman"/>
                <w:szCs w:val="24"/>
              </w:rPr>
              <w:t>11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562D70E6" w14:textId="77777777" w:rsidR="00D85891" w:rsidRPr="00AE4350" w:rsidRDefault="00D85891" w:rsidP="0021731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</w:t>
            </w:r>
          </w:p>
        </w:tc>
      </w:tr>
      <w:tr w:rsidR="00D85891" w:rsidRPr="00AE4350" w14:paraId="69878C0B" w14:textId="77777777" w:rsidTr="00217313">
        <w:trPr>
          <w:trHeight w:val="255"/>
          <w:jc w:val="center"/>
        </w:trPr>
        <w:tc>
          <w:tcPr>
            <w:tcW w:w="3134" w:type="dxa"/>
            <w:shd w:val="clear" w:color="auto" w:fill="auto"/>
            <w:vAlign w:val="bottom"/>
            <w:hideMark/>
          </w:tcPr>
          <w:p w14:paraId="49B1AEB4" w14:textId="77777777" w:rsidR="00D85891" w:rsidRPr="00AE4350" w:rsidRDefault="00D85891" w:rsidP="00217313">
            <w:pPr>
              <w:rPr>
                <w:rFonts w:cs="Times New Roman"/>
                <w:szCs w:val="24"/>
              </w:rPr>
            </w:pPr>
            <w:r w:rsidRPr="00AE4350">
              <w:rPr>
                <w:rFonts w:cs="Times New Roman"/>
                <w:szCs w:val="24"/>
              </w:rPr>
              <w:t>Astmas kabinets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14:paraId="408810DF" w14:textId="77777777" w:rsidR="00D85891" w:rsidRPr="004D0793" w:rsidRDefault="00D85891" w:rsidP="00217313">
            <w:pPr>
              <w:jc w:val="center"/>
              <w:rPr>
                <w:rFonts w:cs="Times New Roman"/>
                <w:szCs w:val="24"/>
              </w:rPr>
            </w:pPr>
            <w:r w:rsidRPr="004D0793">
              <w:rPr>
                <w:rFonts w:cs="Times New Roman"/>
                <w:szCs w:val="24"/>
              </w:rPr>
              <w:t>19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3EFC20EA" w14:textId="77777777" w:rsidR="00D85891" w:rsidRPr="00AE4350" w:rsidRDefault="00D85891" w:rsidP="0021731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D85891" w:rsidRPr="00AE4350" w14:paraId="5A876EC3" w14:textId="77777777" w:rsidTr="00217313">
        <w:trPr>
          <w:trHeight w:val="255"/>
          <w:jc w:val="center"/>
        </w:trPr>
        <w:tc>
          <w:tcPr>
            <w:tcW w:w="3134" w:type="dxa"/>
            <w:shd w:val="clear" w:color="auto" w:fill="auto"/>
            <w:vAlign w:val="bottom"/>
            <w:hideMark/>
          </w:tcPr>
          <w:p w14:paraId="10147670" w14:textId="77777777" w:rsidR="00D85891" w:rsidRPr="00AE4350" w:rsidRDefault="00D85891" w:rsidP="00217313">
            <w:pPr>
              <w:rPr>
                <w:rFonts w:cs="Times New Roman"/>
                <w:szCs w:val="24"/>
              </w:rPr>
            </w:pPr>
            <w:proofErr w:type="spellStart"/>
            <w:r w:rsidRPr="00AE4350">
              <w:rPr>
                <w:rFonts w:cs="Times New Roman"/>
                <w:szCs w:val="24"/>
              </w:rPr>
              <w:t>Otolaringoloģija</w:t>
            </w:r>
            <w:proofErr w:type="spellEnd"/>
            <w:r w:rsidRPr="00AE4350">
              <w:rPr>
                <w:rFonts w:cs="Times New Roman"/>
                <w:szCs w:val="24"/>
              </w:rPr>
              <w:t xml:space="preserve"> bērniem dienas stacionārā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14:paraId="7C106480" w14:textId="77777777" w:rsidR="00D85891" w:rsidRPr="004D0793" w:rsidRDefault="00D85891" w:rsidP="00217313">
            <w:pPr>
              <w:jc w:val="center"/>
              <w:rPr>
                <w:rFonts w:cs="Times New Roman"/>
                <w:szCs w:val="24"/>
              </w:rPr>
            </w:pPr>
            <w:r w:rsidRPr="004D0793">
              <w:rPr>
                <w:rFonts w:cs="Times New Roman"/>
                <w:szCs w:val="24"/>
              </w:rPr>
              <w:t>22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BEC7D16" w14:textId="77777777" w:rsidR="00D85891" w:rsidRPr="00AE4350" w:rsidRDefault="00D85891" w:rsidP="0021731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</w:t>
            </w:r>
          </w:p>
        </w:tc>
      </w:tr>
      <w:tr w:rsidR="00D85891" w:rsidRPr="00AE4350" w14:paraId="3BAF8BAA" w14:textId="77777777" w:rsidTr="00217313">
        <w:trPr>
          <w:trHeight w:val="255"/>
          <w:jc w:val="center"/>
        </w:trPr>
        <w:tc>
          <w:tcPr>
            <w:tcW w:w="3134" w:type="dxa"/>
            <w:shd w:val="clear" w:color="auto" w:fill="auto"/>
            <w:vAlign w:val="bottom"/>
            <w:hideMark/>
          </w:tcPr>
          <w:p w14:paraId="18B10A68" w14:textId="77777777" w:rsidR="00D85891" w:rsidRPr="00AE4350" w:rsidRDefault="00D85891" w:rsidP="00217313">
            <w:pPr>
              <w:rPr>
                <w:rFonts w:cs="Times New Roman"/>
                <w:szCs w:val="24"/>
              </w:rPr>
            </w:pPr>
            <w:proofErr w:type="spellStart"/>
            <w:r w:rsidRPr="00AE4350">
              <w:rPr>
                <w:rFonts w:cs="Times New Roman"/>
                <w:szCs w:val="24"/>
              </w:rPr>
              <w:t>Otolaringoloģija</w:t>
            </w:r>
            <w:proofErr w:type="spellEnd"/>
            <w:r w:rsidRPr="00AE4350">
              <w:rPr>
                <w:rFonts w:cs="Times New Roman"/>
                <w:szCs w:val="24"/>
              </w:rPr>
              <w:t xml:space="preserve"> pieaugušajiem dienas stacionārā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14:paraId="5AE8E9E8" w14:textId="77777777" w:rsidR="00D85891" w:rsidRPr="004D0793" w:rsidRDefault="00D85891" w:rsidP="00217313">
            <w:pPr>
              <w:jc w:val="center"/>
              <w:rPr>
                <w:rFonts w:cs="Times New Roman"/>
                <w:szCs w:val="24"/>
              </w:rPr>
            </w:pPr>
            <w:r w:rsidRPr="004D0793">
              <w:rPr>
                <w:rFonts w:cs="Times New Roman"/>
                <w:szCs w:val="24"/>
              </w:rPr>
              <w:t>29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346256FA" w14:textId="77777777" w:rsidR="00D85891" w:rsidRPr="00AE4350" w:rsidRDefault="00D85891" w:rsidP="0021731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</w:t>
            </w:r>
          </w:p>
        </w:tc>
      </w:tr>
      <w:tr w:rsidR="00D85891" w:rsidRPr="00AE4350" w14:paraId="758C1EE8" w14:textId="77777777" w:rsidTr="00217313">
        <w:trPr>
          <w:trHeight w:val="255"/>
          <w:jc w:val="center"/>
        </w:trPr>
        <w:tc>
          <w:tcPr>
            <w:tcW w:w="3134" w:type="dxa"/>
            <w:shd w:val="clear" w:color="auto" w:fill="auto"/>
            <w:vAlign w:val="bottom"/>
            <w:hideMark/>
          </w:tcPr>
          <w:p w14:paraId="588DC03D" w14:textId="77777777" w:rsidR="00D85891" w:rsidRPr="00AE4350" w:rsidRDefault="00D85891" w:rsidP="00217313">
            <w:pPr>
              <w:rPr>
                <w:rFonts w:cs="Times New Roman"/>
                <w:szCs w:val="24"/>
              </w:rPr>
            </w:pPr>
            <w:proofErr w:type="spellStart"/>
            <w:r w:rsidRPr="00AE4350">
              <w:rPr>
                <w:rFonts w:cs="Times New Roman"/>
                <w:szCs w:val="24"/>
              </w:rPr>
              <w:t>Audiologopēds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</w:tcPr>
          <w:p w14:paraId="5114C8F0" w14:textId="77777777" w:rsidR="00D85891" w:rsidRPr="004D0793" w:rsidRDefault="00D85891" w:rsidP="00217313">
            <w:pPr>
              <w:jc w:val="center"/>
              <w:rPr>
                <w:rFonts w:cs="Times New Roman"/>
                <w:szCs w:val="24"/>
              </w:rPr>
            </w:pPr>
            <w:r w:rsidRPr="004D0793">
              <w:rPr>
                <w:rFonts w:cs="Times New Roman"/>
                <w:szCs w:val="24"/>
              </w:rPr>
              <w:t>30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256D84CB" w14:textId="77777777" w:rsidR="00D85891" w:rsidRPr="00AE4350" w:rsidRDefault="00D85891" w:rsidP="0021731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</w:p>
        </w:tc>
      </w:tr>
      <w:tr w:rsidR="00D85891" w:rsidRPr="00AE4350" w14:paraId="359C0094" w14:textId="77777777" w:rsidTr="00217313">
        <w:trPr>
          <w:trHeight w:val="255"/>
          <w:jc w:val="center"/>
        </w:trPr>
        <w:tc>
          <w:tcPr>
            <w:tcW w:w="3134" w:type="dxa"/>
            <w:shd w:val="clear" w:color="auto" w:fill="auto"/>
            <w:vAlign w:val="bottom"/>
            <w:hideMark/>
          </w:tcPr>
          <w:p w14:paraId="1B8AAF35" w14:textId="77777777" w:rsidR="00D85891" w:rsidRPr="00AE4350" w:rsidRDefault="00D85891" w:rsidP="00217313">
            <w:pPr>
              <w:rPr>
                <w:rFonts w:cs="Times New Roman"/>
                <w:szCs w:val="24"/>
              </w:rPr>
            </w:pPr>
            <w:r w:rsidRPr="00AE4350">
              <w:rPr>
                <w:rFonts w:cs="Times New Roman"/>
                <w:szCs w:val="24"/>
              </w:rPr>
              <w:t>Fizioterapeits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14:paraId="327040B9" w14:textId="77777777" w:rsidR="00D85891" w:rsidRPr="004D0793" w:rsidRDefault="00D85891" w:rsidP="00217313">
            <w:pPr>
              <w:jc w:val="center"/>
              <w:rPr>
                <w:rFonts w:cs="Times New Roman"/>
                <w:szCs w:val="24"/>
              </w:rPr>
            </w:pPr>
            <w:r w:rsidRPr="004D0793">
              <w:rPr>
                <w:rFonts w:cs="Times New Roman"/>
                <w:szCs w:val="24"/>
              </w:rPr>
              <w:t>10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76FC317" w14:textId="77777777" w:rsidR="00D85891" w:rsidRPr="00AE4350" w:rsidRDefault="00D85891" w:rsidP="0021731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</w:tr>
      <w:tr w:rsidR="00D85891" w:rsidRPr="00AE4350" w14:paraId="6FF17C30" w14:textId="77777777" w:rsidTr="00217313">
        <w:trPr>
          <w:trHeight w:val="255"/>
          <w:jc w:val="center"/>
        </w:trPr>
        <w:tc>
          <w:tcPr>
            <w:tcW w:w="3134" w:type="dxa"/>
            <w:shd w:val="clear" w:color="auto" w:fill="auto"/>
            <w:vAlign w:val="bottom"/>
            <w:hideMark/>
          </w:tcPr>
          <w:p w14:paraId="3CCF0296" w14:textId="77777777" w:rsidR="00D85891" w:rsidRPr="00AE4350" w:rsidRDefault="00D85891" w:rsidP="00217313">
            <w:pPr>
              <w:rPr>
                <w:rFonts w:cs="Times New Roman"/>
                <w:szCs w:val="24"/>
              </w:rPr>
            </w:pPr>
            <w:r w:rsidRPr="00AE4350">
              <w:rPr>
                <w:rFonts w:cs="Times New Roman"/>
                <w:szCs w:val="24"/>
              </w:rPr>
              <w:t>Vispārējā masāža bērniem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14:paraId="6CA2FFA5" w14:textId="77777777" w:rsidR="00D85891" w:rsidRPr="004D0793" w:rsidRDefault="00D85891" w:rsidP="00217313">
            <w:pPr>
              <w:jc w:val="center"/>
              <w:rPr>
                <w:rFonts w:cs="Times New Roman"/>
                <w:szCs w:val="24"/>
              </w:rPr>
            </w:pPr>
            <w:r w:rsidRPr="004D0793">
              <w:rPr>
                <w:rFonts w:cs="Times New Roman"/>
                <w:szCs w:val="24"/>
              </w:rPr>
              <w:t>15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44363DE6" w14:textId="77777777" w:rsidR="00D85891" w:rsidRPr="00AE4350" w:rsidRDefault="00D85891" w:rsidP="0021731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</w:tr>
    </w:tbl>
    <w:p w14:paraId="1E364343" w14:textId="77777777" w:rsidR="00D85891" w:rsidRDefault="00D85891" w:rsidP="00D85891">
      <w:pPr>
        <w:pStyle w:val="teksts"/>
        <w:spacing w:line="300" w:lineRule="auto"/>
        <w:rPr>
          <w:u w:val="single"/>
          <w:lang w:eastAsia="en-US"/>
        </w:rPr>
      </w:pPr>
    </w:p>
    <w:p w14:paraId="49E23907" w14:textId="63967F58" w:rsidR="00151F1D" w:rsidRDefault="00151F1D" w:rsidP="00D85891">
      <w:pPr>
        <w:spacing w:after="120"/>
        <w:jc w:val="center"/>
        <w:outlineLvl w:val="0"/>
      </w:pPr>
    </w:p>
    <w:p w14:paraId="1FA03341" w14:textId="5FDB07BF" w:rsidR="00750763" w:rsidRDefault="00750763" w:rsidP="00D85891">
      <w:pPr>
        <w:spacing w:after="120"/>
        <w:jc w:val="center"/>
        <w:outlineLvl w:val="0"/>
      </w:pPr>
    </w:p>
    <w:p w14:paraId="70C520FF" w14:textId="558FC514" w:rsidR="00750763" w:rsidRDefault="00750763" w:rsidP="00D85891">
      <w:pPr>
        <w:spacing w:after="120"/>
        <w:jc w:val="center"/>
        <w:outlineLvl w:val="0"/>
      </w:pPr>
    </w:p>
    <w:p w14:paraId="07888695" w14:textId="1B9FAE57" w:rsidR="00750763" w:rsidRDefault="00750763" w:rsidP="00D85891">
      <w:pPr>
        <w:spacing w:after="120"/>
        <w:jc w:val="center"/>
        <w:outlineLvl w:val="0"/>
      </w:pPr>
    </w:p>
    <w:p w14:paraId="57EFF986" w14:textId="2C44732E" w:rsidR="00750763" w:rsidRDefault="00750763" w:rsidP="00D85891">
      <w:pPr>
        <w:spacing w:after="120"/>
        <w:jc w:val="center"/>
        <w:outlineLvl w:val="0"/>
      </w:pPr>
    </w:p>
    <w:p w14:paraId="59037BF5" w14:textId="75B75472" w:rsidR="00750763" w:rsidRDefault="00750763" w:rsidP="00D85891">
      <w:pPr>
        <w:spacing w:after="120"/>
        <w:jc w:val="center"/>
        <w:outlineLvl w:val="0"/>
      </w:pPr>
    </w:p>
    <w:p w14:paraId="152F8F94" w14:textId="5CA3E579" w:rsidR="00750763" w:rsidRDefault="00750763" w:rsidP="00D85891">
      <w:pPr>
        <w:spacing w:after="120"/>
        <w:jc w:val="center"/>
        <w:outlineLvl w:val="0"/>
      </w:pPr>
    </w:p>
    <w:p w14:paraId="16A74274" w14:textId="29AD1A68" w:rsidR="00750763" w:rsidRDefault="00750763" w:rsidP="00D85891">
      <w:pPr>
        <w:spacing w:after="120"/>
        <w:jc w:val="center"/>
        <w:outlineLvl w:val="0"/>
      </w:pPr>
    </w:p>
    <w:p w14:paraId="70DADF72" w14:textId="17BB0630" w:rsidR="00750763" w:rsidRDefault="00750763" w:rsidP="00D85891">
      <w:pPr>
        <w:spacing w:after="120"/>
        <w:jc w:val="center"/>
        <w:outlineLvl w:val="0"/>
      </w:pPr>
    </w:p>
    <w:p w14:paraId="7CE916F5" w14:textId="1522A5B3" w:rsidR="00750763" w:rsidRDefault="00750763" w:rsidP="00D85891">
      <w:pPr>
        <w:spacing w:after="120"/>
        <w:jc w:val="center"/>
        <w:outlineLvl w:val="0"/>
      </w:pPr>
    </w:p>
    <w:p w14:paraId="6D3B7EB2" w14:textId="7D48CDE7" w:rsidR="00750763" w:rsidRDefault="00750763" w:rsidP="00D85891">
      <w:pPr>
        <w:spacing w:after="120"/>
        <w:jc w:val="center"/>
        <w:outlineLvl w:val="0"/>
      </w:pPr>
    </w:p>
    <w:p w14:paraId="6D102488" w14:textId="77777777" w:rsidR="002B1A74" w:rsidRDefault="002B1A74" w:rsidP="00D85891">
      <w:pPr>
        <w:spacing w:after="120"/>
        <w:jc w:val="center"/>
        <w:outlineLvl w:val="0"/>
      </w:pPr>
    </w:p>
    <w:p w14:paraId="096653D1" w14:textId="35AA2C54" w:rsidR="00750763" w:rsidRDefault="00750763" w:rsidP="00D85891">
      <w:pPr>
        <w:spacing w:after="120"/>
        <w:jc w:val="center"/>
        <w:outlineLvl w:val="0"/>
      </w:pPr>
    </w:p>
    <w:p w14:paraId="5C735D38" w14:textId="380F9E4C" w:rsidR="00750763" w:rsidRDefault="00750763" w:rsidP="00D85891">
      <w:pPr>
        <w:spacing w:after="120"/>
        <w:jc w:val="center"/>
        <w:outlineLvl w:val="0"/>
      </w:pPr>
    </w:p>
    <w:p w14:paraId="4A389E34" w14:textId="5A61A27C" w:rsidR="00750763" w:rsidRDefault="00750763" w:rsidP="00750763">
      <w:pPr>
        <w:spacing w:after="120"/>
        <w:jc w:val="right"/>
        <w:outlineLvl w:val="0"/>
      </w:pPr>
      <w:r>
        <w:lastRenderedPageBreak/>
        <w:t>5.pielikums</w:t>
      </w:r>
    </w:p>
    <w:p w14:paraId="3EC94169" w14:textId="49DF286B" w:rsidR="00750763" w:rsidRDefault="00750763" w:rsidP="00D85891">
      <w:pPr>
        <w:spacing w:after="120"/>
        <w:jc w:val="center"/>
        <w:outlineLvl w:val="0"/>
      </w:pPr>
    </w:p>
    <w:tbl>
      <w:tblPr>
        <w:tblW w:w="9072" w:type="dxa"/>
        <w:tblInd w:w="675" w:type="dxa"/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1134"/>
        <w:gridCol w:w="1134"/>
        <w:gridCol w:w="1134"/>
      </w:tblGrid>
      <w:tr w:rsidR="00750763" w:rsidRPr="00750763" w14:paraId="2A95405B" w14:textId="77777777" w:rsidTr="00217313">
        <w:trPr>
          <w:trHeight w:val="255"/>
        </w:trPr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F82C" w14:textId="77777777" w:rsidR="00750763" w:rsidRPr="00750763" w:rsidRDefault="00750763" w:rsidP="00750763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b/>
                <w:color w:val="000000"/>
                <w:sz w:val="22"/>
                <w:lang w:eastAsia="lv-LV"/>
              </w:rPr>
              <w:t>Stacionāro gultu noslogojuma (efektivitātes) rādītāji</w:t>
            </w:r>
            <w:r w:rsidRPr="00750763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A5D8" w14:textId="77777777" w:rsidR="00750763" w:rsidRPr="00750763" w:rsidRDefault="00750763" w:rsidP="0075076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2015.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44F6" w14:textId="77777777" w:rsidR="00750763" w:rsidRPr="00750763" w:rsidRDefault="00750763" w:rsidP="0075076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2016.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3DA7" w14:textId="77777777" w:rsidR="00750763" w:rsidRPr="00750763" w:rsidRDefault="00750763" w:rsidP="0075076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2017.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F08E" w14:textId="77777777" w:rsidR="00750763" w:rsidRPr="00750763" w:rsidRDefault="00750763" w:rsidP="0075076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2018.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5CF6" w14:textId="77777777" w:rsidR="00750763" w:rsidRPr="00750763" w:rsidRDefault="00750763" w:rsidP="0075076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2019.</w:t>
            </w:r>
          </w:p>
        </w:tc>
      </w:tr>
      <w:tr w:rsidR="00750763" w:rsidRPr="00750763" w14:paraId="045E0EB7" w14:textId="77777777" w:rsidTr="00217313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D2A79E" w14:textId="77777777" w:rsidR="00750763" w:rsidRPr="00750763" w:rsidRDefault="00750763" w:rsidP="00750763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color w:val="000000"/>
                <w:sz w:val="22"/>
                <w:lang w:eastAsia="lv-LV"/>
              </w:rPr>
              <w:t>Vidējais gultu skaits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539F5" w14:textId="77777777" w:rsidR="00750763" w:rsidRPr="00750763" w:rsidRDefault="00750763" w:rsidP="0075076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color w:val="000000"/>
                <w:sz w:val="22"/>
                <w:lang w:eastAsia="lv-LV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D3283" w14:textId="77777777" w:rsidR="00750763" w:rsidRPr="00750763" w:rsidRDefault="00750763" w:rsidP="0075076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color w:val="000000"/>
                <w:sz w:val="22"/>
                <w:lang w:eastAsia="lv-LV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7A281" w14:textId="77777777" w:rsidR="00750763" w:rsidRPr="00750763" w:rsidRDefault="00750763" w:rsidP="0075076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color w:val="000000"/>
                <w:sz w:val="22"/>
                <w:lang w:eastAsia="lv-LV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223AD" w14:textId="77777777" w:rsidR="00750763" w:rsidRPr="00750763" w:rsidRDefault="00750763" w:rsidP="0075076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color w:val="000000"/>
                <w:sz w:val="22"/>
                <w:lang w:eastAsia="lv-LV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F8495" w14:textId="77777777" w:rsidR="00750763" w:rsidRPr="00750763" w:rsidRDefault="00750763" w:rsidP="0075076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color w:val="000000"/>
                <w:sz w:val="22"/>
                <w:lang w:eastAsia="lv-LV"/>
              </w:rPr>
              <w:t>292</w:t>
            </w:r>
          </w:p>
        </w:tc>
      </w:tr>
      <w:tr w:rsidR="00750763" w:rsidRPr="00750763" w14:paraId="1B67E584" w14:textId="77777777" w:rsidTr="00217313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73A01" w14:textId="77777777" w:rsidR="00750763" w:rsidRPr="00750763" w:rsidRDefault="00750763" w:rsidP="00750763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color w:val="000000"/>
                <w:sz w:val="22"/>
                <w:lang w:eastAsia="lv-LV"/>
              </w:rPr>
              <w:t>Stacionārā ārstēto pacientu skaits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902B1" w14:textId="77777777" w:rsidR="00750763" w:rsidRPr="00750763" w:rsidRDefault="00750763" w:rsidP="0075076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color w:val="000000"/>
                <w:sz w:val="22"/>
                <w:lang w:eastAsia="lv-LV"/>
              </w:rPr>
              <w:t>10412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92155" w14:textId="77777777" w:rsidR="00750763" w:rsidRPr="00750763" w:rsidRDefault="00750763" w:rsidP="0075076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color w:val="000000"/>
                <w:sz w:val="22"/>
                <w:lang w:eastAsia="lv-LV"/>
              </w:rPr>
              <w:t>10290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09C55" w14:textId="77777777" w:rsidR="00750763" w:rsidRPr="00750763" w:rsidRDefault="00750763" w:rsidP="0075076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color w:val="000000"/>
                <w:sz w:val="22"/>
                <w:lang w:eastAsia="lv-LV"/>
              </w:rPr>
              <w:t>9619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A5CA4" w14:textId="77777777" w:rsidR="00750763" w:rsidRPr="00750763" w:rsidRDefault="00750763" w:rsidP="0075076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color w:val="000000"/>
                <w:sz w:val="22"/>
                <w:lang w:eastAsia="lv-LV"/>
              </w:rPr>
              <w:t>9392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0F1C5" w14:textId="77777777" w:rsidR="00750763" w:rsidRPr="00750763" w:rsidRDefault="00750763" w:rsidP="0075076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color w:val="000000"/>
                <w:sz w:val="22"/>
                <w:lang w:eastAsia="lv-LV"/>
              </w:rPr>
              <w:t>9408</w:t>
            </w:r>
          </w:p>
        </w:tc>
      </w:tr>
      <w:tr w:rsidR="00750763" w:rsidRPr="00750763" w14:paraId="146C3C41" w14:textId="77777777" w:rsidTr="00217313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DCAF59" w14:textId="77777777" w:rsidR="00750763" w:rsidRPr="00750763" w:rsidRDefault="00750763" w:rsidP="00750763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color w:val="000000"/>
                <w:sz w:val="22"/>
                <w:lang w:eastAsia="lv-LV"/>
              </w:rPr>
              <w:t>t.sk: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3FE496" w14:textId="77777777" w:rsidR="00750763" w:rsidRPr="00750763" w:rsidRDefault="00750763" w:rsidP="0075076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1470E" w14:textId="77777777" w:rsidR="00750763" w:rsidRPr="00750763" w:rsidRDefault="00750763" w:rsidP="0075076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FA186" w14:textId="77777777" w:rsidR="00750763" w:rsidRPr="00750763" w:rsidRDefault="00750763" w:rsidP="0075076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648FCA" w14:textId="77777777" w:rsidR="00750763" w:rsidRPr="00750763" w:rsidRDefault="00750763" w:rsidP="0075076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CE078" w14:textId="77777777" w:rsidR="00750763" w:rsidRPr="00750763" w:rsidRDefault="00750763" w:rsidP="0075076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750763" w:rsidRPr="00750763" w14:paraId="1BB25889" w14:textId="77777777" w:rsidTr="00217313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0493B" w14:textId="77777777" w:rsidR="00750763" w:rsidRPr="00750763" w:rsidRDefault="00750763" w:rsidP="00750763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color w:val="000000"/>
                <w:sz w:val="22"/>
                <w:lang w:eastAsia="lv-LV"/>
              </w:rPr>
              <w:t>izrakstīto pacientu skaits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61813" w14:textId="77777777" w:rsidR="00750763" w:rsidRPr="00750763" w:rsidRDefault="00750763" w:rsidP="0075076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color w:val="000000"/>
                <w:sz w:val="22"/>
                <w:lang w:eastAsia="lv-LV"/>
              </w:rPr>
              <w:t>10069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68139" w14:textId="77777777" w:rsidR="00750763" w:rsidRPr="00750763" w:rsidRDefault="00750763" w:rsidP="0075076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color w:val="000000"/>
                <w:sz w:val="22"/>
                <w:lang w:eastAsia="lv-LV"/>
              </w:rPr>
              <w:t>9941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B825F8" w14:textId="77777777" w:rsidR="00750763" w:rsidRPr="00750763" w:rsidRDefault="00750763" w:rsidP="0075076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color w:val="000000"/>
                <w:sz w:val="22"/>
                <w:lang w:eastAsia="lv-LV"/>
              </w:rPr>
              <w:t>9312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5991F" w14:textId="77777777" w:rsidR="00750763" w:rsidRPr="00750763" w:rsidRDefault="00750763" w:rsidP="0075076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color w:val="000000"/>
                <w:sz w:val="22"/>
                <w:lang w:eastAsia="lv-LV"/>
              </w:rPr>
              <w:t>9065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20282E" w14:textId="77777777" w:rsidR="00750763" w:rsidRPr="00750763" w:rsidRDefault="00750763" w:rsidP="0075076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color w:val="000000"/>
                <w:sz w:val="22"/>
                <w:lang w:eastAsia="lv-LV"/>
              </w:rPr>
              <w:t>9075</w:t>
            </w:r>
          </w:p>
        </w:tc>
      </w:tr>
      <w:tr w:rsidR="00750763" w:rsidRPr="00750763" w14:paraId="4A2F1D44" w14:textId="77777777" w:rsidTr="00217313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B41EF" w14:textId="77777777" w:rsidR="00750763" w:rsidRPr="00750763" w:rsidRDefault="00750763" w:rsidP="00750763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color w:val="000000"/>
                <w:sz w:val="22"/>
                <w:lang w:eastAsia="lv-LV"/>
              </w:rPr>
              <w:t>mirušo pacientu skaits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D3035" w14:textId="77777777" w:rsidR="00750763" w:rsidRPr="00750763" w:rsidRDefault="00750763" w:rsidP="0075076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color w:val="000000"/>
                <w:sz w:val="22"/>
                <w:lang w:eastAsia="lv-LV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CF5EE8" w14:textId="77777777" w:rsidR="00750763" w:rsidRPr="00750763" w:rsidRDefault="00750763" w:rsidP="0075076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color w:val="000000"/>
                <w:sz w:val="22"/>
                <w:lang w:eastAsia="lv-LV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8DBA7" w14:textId="77777777" w:rsidR="00750763" w:rsidRPr="00750763" w:rsidRDefault="00750763" w:rsidP="0075076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color w:val="000000"/>
                <w:sz w:val="22"/>
                <w:lang w:eastAsia="lv-LV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F4267" w14:textId="77777777" w:rsidR="00750763" w:rsidRPr="00750763" w:rsidRDefault="00750763" w:rsidP="0075076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color w:val="000000"/>
                <w:sz w:val="22"/>
                <w:lang w:eastAsia="lv-LV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32DC1" w14:textId="77777777" w:rsidR="00750763" w:rsidRPr="00750763" w:rsidRDefault="00750763" w:rsidP="0075076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color w:val="000000"/>
                <w:sz w:val="22"/>
                <w:lang w:eastAsia="lv-LV"/>
              </w:rPr>
              <w:t>333</w:t>
            </w:r>
          </w:p>
        </w:tc>
      </w:tr>
      <w:tr w:rsidR="00750763" w:rsidRPr="00750763" w14:paraId="6D04B0BA" w14:textId="77777777" w:rsidTr="00217313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29B43" w14:textId="77777777" w:rsidR="00750763" w:rsidRPr="00750763" w:rsidRDefault="00750763" w:rsidP="00750763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color w:val="000000"/>
                <w:sz w:val="22"/>
                <w:lang w:eastAsia="lv-LV"/>
              </w:rPr>
              <w:t>Kalendāro dienu skaits gadā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8B1FDA" w14:textId="77777777" w:rsidR="00750763" w:rsidRPr="00750763" w:rsidRDefault="00750763" w:rsidP="0075076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color w:val="000000"/>
                <w:sz w:val="22"/>
                <w:lang w:eastAsia="lv-LV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19EC0" w14:textId="77777777" w:rsidR="00750763" w:rsidRPr="00750763" w:rsidRDefault="00750763" w:rsidP="0075076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color w:val="000000"/>
                <w:sz w:val="22"/>
                <w:lang w:eastAsia="lv-LV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3FA34" w14:textId="77777777" w:rsidR="00750763" w:rsidRPr="00750763" w:rsidRDefault="00750763" w:rsidP="0075076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color w:val="000000"/>
                <w:sz w:val="22"/>
                <w:lang w:eastAsia="lv-LV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E2572F" w14:textId="77777777" w:rsidR="00750763" w:rsidRPr="00750763" w:rsidRDefault="00750763" w:rsidP="0075076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color w:val="000000"/>
                <w:sz w:val="22"/>
                <w:lang w:eastAsia="lv-LV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78C0E" w14:textId="77777777" w:rsidR="00750763" w:rsidRPr="00750763" w:rsidRDefault="00750763" w:rsidP="0075076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color w:val="000000"/>
                <w:sz w:val="22"/>
                <w:lang w:eastAsia="lv-LV"/>
              </w:rPr>
              <w:t>365</w:t>
            </w:r>
          </w:p>
        </w:tc>
      </w:tr>
      <w:tr w:rsidR="00750763" w:rsidRPr="00750763" w14:paraId="516954BE" w14:textId="77777777" w:rsidTr="00217313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FCBFE3" w14:textId="77777777" w:rsidR="00750763" w:rsidRPr="00750763" w:rsidRDefault="00750763" w:rsidP="00750763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color w:val="000000"/>
                <w:sz w:val="22"/>
                <w:lang w:eastAsia="lv-LV"/>
              </w:rPr>
              <w:t>Gultu fonds gadā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A4C17" w14:textId="77777777" w:rsidR="00750763" w:rsidRPr="00750763" w:rsidRDefault="00750763" w:rsidP="0075076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color w:val="000000"/>
                <w:sz w:val="22"/>
                <w:lang w:eastAsia="lv-LV"/>
              </w:rPr>
              <w:t>95995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60C63" w14:textId="77777777" w:rsidR="00750763" w:rsidRPr="00750763" w:rsidRDefault="00750763" w:rsidP="0075076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color w:val="000000"/>
                <w:sz w:val="22"/>
                <w:lang w:eastAsia="lv-LV"/>
              </w:rPr>
              <w:t>93696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5F960" w14:textId="77777777" w:rsidR="00750763" w:rsidRPr="00750763" w:rsidRDefault="00750763" w:rsidP="0075076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color w:val="000000"/>
                <w:sz w:val="22"/>
                <w:lang w:eastAsia="lv-LV"/>
              </w:rPr>
              <w:t>85410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2C8F53" w14:textId="77777777" w:rsidR="00750763" w:rsidRPr="00750763" w:rsidRDefault="00750763" w:rsidP="0075076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color w:val="000000"/>
                <w:sz w:val="22"/>
                <w:lang w:eastAsia="lv-LV"/>
              </w:rPr>
              <w:t>97090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32683" w14:textId="77777777" w:rsidR="00750763" w:rsidRPr="00750763" w:rsidRDefault="00750763" w:rsidP="0075076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color w:val="000000"/>
                <w:sz w:val="22"/>
                <w:lang w:eastAsia="lv-LV"/>
              </w:rPr>
              <w:t>106580</w:t>
            </w:r>
          </w:p>
        </w:tc>
      </w:tr>
      <w:tr w:rsidR="00750763" w:rsidRPr="00750763" w14:paraId="23C77506" w14:textId="77777777" w:rsidTr="00217313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E4DF1B" w14:textId="77777777" w:rsidR="00750763" w:rsidRPr="00750763" w:rsidRDefault="00750763" w:rsidP="00750763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color w:val="000000"/>
                <w:sz w:val="22"/>
                <w:lang w:eastAsia="lv-LV"/>
              </w:rPr>
              <w:t>Pacientu pavadītais laiks stacionārā (</w:t>
            </w:r>
            <w:proofErr w:type="spellStart"/>
            <w:r w:rsidRPr="00750763">
              <w:rPr>
                <w:rFonts w:eastAsia="Times New Roman" w:cs="Times New Roman"/>
                <w:color w:val="000000"/>
                <w:sz w:val="22"/>
                <w:lang w:eastAsia="lv-LV"/>
              </w:rPr>
              <w:t>gultasdienas</w:t>
            </w:r>
            <w:proofErr w:type="spellEnd"/>
            <w:r w:rsidRPr="00750763">
              <w:rPr>
                <w:rFonts w:eastAsia="Times New Roman" w:cs="Times New Roman"/>
                <w:color w:val="000000"/>
                <w:sz w:val="22"/>
                <w:lang w:eastAsia="lv-LV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FDFBA" w14:textId="77777777" w:rsidR="00750763" w:rsidRPr="00750763" w:rsidRDefault="00750763" w:rsidP="0075076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color w:val="000000"/>
                <w:sz w:val="22"/>
                <w:lang w:eastAsia="lv-LV"/>
              </w:rPr>
              <w:t>65336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6E95E" w14:textId="77777777" w:rsidR="00750763" w:rsidRPr="00750763" w:rsidRDefault="00750763" w:rsidP="0075076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color w:val="000000"/>
                <w:sz w:val="22"/>
                <w:lang w:eastAsia="lv-LV"/>
              </w:rPr>
              <w:t>63623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738C4D" w14:textId="77777777" w:rsidR="00750763" w:rsidRPr="00750763" w:rsidRDefault="00750763" w:rsidP="0075076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color w:val="000000"/>
                <w:sz w:val="22"/>
                <w:lang w:eastAsia="lv-LV"/>
              </w:rPr>
              <w:t>62940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A0E96" w14:textId="77777777" w:rsidR="00750763" w:rsidRPr="00750763" w:rsidRDefault="00750763" w:rsidP="0075076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color w:val="000000"/>
                <w:sz w:val="22"/>
                <w:lang w:eastAsia="lv-LV"/>
              </w:rPr>
              <w:t>63210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E5535" w14:textId="77777777" w:rsidR="00750763" w:rsidRPr="00750763" w:rsidRDefault="00750763" w:rsidP="0075076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color w:val="000000"/>
                <w:sz w:val="22"/>
                <w:lang w:eastAsia="lv-LV"/>
              </w:rPr>
              <w:t>62683</w:t>
            </w:r>
          </w:p>
        </w:tc>
      </w:tr>
      <w:tr w:rsidR="00750763" w:rsidRPr="00750763" w14:paraId="2F6BEB59" w14:textId="77777777" w:rsidTr="00217313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E12572" w14:textId="77777777" w:rsidR="00750763" w:rsidRPr="00750763" w:rsidRDefault="00750763" w:rsidP="00750763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Vidējā gultu slodze dienās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66996" w14:textId="77777777" w:rsidR="00750763" w:rsidRPr="00750763" w:rsidRDefault="00750763" w:rsidP="0075076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248,43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D4F26" w14:textId="77777777" w:rsidR="00750763" w:rsidRPr="00750763" w:rsidRDefault="00750763" w:rsidP="0075076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248,53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022C5D" w14:textId="77777777" w:rsidR="00750763" w:rsidRPr="00750763" w:rsidRDefault="00750763" w:rsidP="0075076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268,97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6CB12B" w14:textId="77777777" w:rsidR="00750763" w:rsidRPr="00750763" w:rsidRDefault="00750763" w:rsidP="0075076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237,63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5A01A" w14:textId="77777777" w:rsidR="00750763" w:rsidRPr="00750763" w:rsidRDefault="00750763" w:rsidP="0075076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214,67</w:t>
            </w:r>
          </w:p>
        </w:tc>
      </w:tr>
      <w:tr w:rsidR="00750763" w:rsidRPr="00750763" w14:paraId="120CC604" w14:textId="77777777" w:rsidTr="00217313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0905E" w14:textId="77777777" w:rsidR="00750763" w:rsidRPr="00750763" w:rsidRDefault="00750763" w:rsidP="00750763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Vidējā gultu slodze % SIA "Jēkabpils reģionālā slimnīca"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F5A97" w14:textId="77777777" w:rsidR="00750763" w:rsidRPr="00750763" w:rsidRDefault="00750763" w:rsidP="0075076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68,06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E310AD" w14:textId="77777777" w:rsidR="00750763" w:rsidRPr="00750763" w:rsidRDefault="00750763" w:rsidP="0075076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67,90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36AB4" w14:textId="77777777" w:rsidR="00750763" w:rsidRPr="00750763" w:rsidRDefault="00750763" w:rsidP="0075076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73,69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215B86" w14:textId="77777777" w:rsidR="00750763" w:rsidRPr="00750763" w:rsidRDefault="00750763" w:rsidP="0075076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65,10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C0FF3F" w14:textId="77777777" w:rsidR="00750763" w:rsidRPr="00750763" w:rsidRDefault="00750763" w:rsidP="0075076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58,81</w:t>
            </w:r>
          </w:p>
        </w:tc>
      </w:tr>
      <w:tr w:rsidR="00750763" w:rsidRPr="00750763" w14:paraId="12E8127F" w14:textId="77777777" w:rsidTr="00217313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54ECA" w14:textId="77777777" w:rsidR="00750763" w:rsidRPr="00750763" w:rsidRDefault="00750763" w:rsidP="00750763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color w:val="000000"/>
                <w:sz w:val="22"/>
                <w:lang w:eastAsia="lv-LV"/>
              </w:rPr>
              <w:t>Vidējā gultu slodze % pašvaldību slimnīcās Latvijā (31 stacionārs) 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C4BDD" w14:textId="77777777" w:rsidR="00750763" w:rsidRPr="00750763" w:rsidRDefault="00750763" w:rsidP="0075076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color w:val="000000"/>
                <w:sz w:val="22"/>
                <w:lang w:eastAsia="lv-LV"/>
              </w:rPr>
              <w:t>68,46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724C5" w14:textId="77777777" w:rsidR="00750763" w:rsidRPr="00750763" w:rsidRDefault="00750763" w:rsidP="0075076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color w:val="000000"/>
                <w:sz w:val="22"/>
                <w:lang w:eastAsia="lv-LV"/>
              </w:rPr>
              <w:t>69,66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CA57FB" w14:textId="77777777" w:rsidR="00750763" w:rsidRPr="00750763" w:rsidRDefault="00750763" w:rsidP="0075076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color w:val="000000"/>
                <w:sz w:val="22"/>
                <w:lang w:eastAsia="lv-LV"/>
              </w:rPr>
              <w:t>71,80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9E1DC8" w14:textId="77777777" w:rsidR="00750763" w:rsidRPr="00750763" w:rsidRDefault="00750763" w:rsidP="0075076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color w:val="000000"/>
                <w:sz w:val="22"/>
                <w:lang w:eastAsia="lv-LV"/>
              </w:rPr>
              <w:t>73,30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E98D8C" w14:textId="77777777" w:rsidR="00750763" w:rsidRPr="00750763" w:rsidRDefault="00750763" w:rsidP="0075076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750763" w:rsidRPr="00750763" w14:paraId="53FD287E" w14:textId="77777777" w:rsidTr="00217313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A556C" w14:textId="77777777" w:rsidR="00750763" w:rsidRPr="00750763" w:rsidRDefault="00750763" w:rsidP="00750763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color w:val="000000"/>
                <w:sz w:val="22"/>
                <w:lang w:eastAsia="lv-LV"/>
              </w:rPr>
              <w:t>Vidējā gultu slodze % visās slimnīcās Latvijā (62 stacionāri) 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BEE6B" w14:textId="77777777" w:rsidR="00750763" w:rsidRPr="00750763" w:rsidRDefault="00750763" w:rsidP="0075076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color w:val="000000"/>
                <w:sz w:val="22"/>
                <w:lang w:eastAsia="lv-LV"/>
              </w:rPr>
              <w:t>75,05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066527" w14:textId="77777777" w:rsidR="00750763" w:rsidRPr="00750763" w:rsidRDefault="00750763" w:rsidP="0075076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color w:val="000000"/>
                <w:sz w:val="22"/>
                <w:lang w:eastAsia="lv-LV"/>
              </w:rPr>
              <w:t>75,57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33A52" w14:textId="77777777" w:rsidR="00750763" w:rsidRPr="00750763" w:rsidRDefault="00750763" w:rsidP="0075076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color w:val="000000"/>
                <w:sz w:val="22"/>
                <w:lang w:eastAsia="lv-LV"/>
              </w:rPr>
              <w:t>75,77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C13BA0" w14:textId="77777777" w:rsidR="00750763" w:rsidRPr="00750763" w:rsidRDefault="00750763" w:rsidP="0075076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color w:val="000000"/>
                <w:sz w:val="22"/>
                <w:lang w:eastAsia="lv-LV"/>
              </w:rPr>
              <w:t>76,75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9346E" w14:textId="77777777" w:rsidR="00750763" w:rsidRPr="00750763" w:rsidRDefault="00750763" w:rsidP="0075076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50763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</w:tbl>
    <w:p w14:paraId="32073D05" w14:textId="77777777" w:rsidR="00750763" w:rsidRPr="00750763" w:rsidRDefault="00750763" w:rsidP="00750763">
      <w:pPr>
        <w:ind w:left="720" w:firstLine="0"/>
        <w:jc w:val="left"/>
        <w:rPr>
          <w:rFonts w:eastAsia="Times New Roman" w:cs="Times New Roman"/>
          <w:color w:val="000000"/>
          <w:sz w:val="12"/>
          <w:szCs w:val="12"/>
          <w:lang w:eastAsia="lv-LV"/>
        </w:rPr>
      </w:pPr>
    </w:p>
    <w:p w14:paraId="5ABCBB16" w14:textId="77777777" w:rsidR="00750763" w:rsidRPr="00750763" w:rsidRDefault="00750763" w:rsidP="00750763">
      <w:pPr>
        <w:ind w:left="720" w:firstLine="0"/>
        <w:jc w:val="left"/>
        <w:rPr>
          <w:rFonts w:eastAsia="Times New Roman" w:cs="Times New Roman"/>
          <w:i/>
          <w:color w:val="000000"/>
          <w:sz w:val="20"/>
          <w:szCs w:val="20"/>
          <w:lang w:eastAsia="lv-LV"/>
        </w:rPr>
      </w:pPr>
      <w:r w:rsidRPr="00750763">
        <w:rPr>
          <w:rFonts w:eastAsia="Times New Roman" w:cs="Times New Roman"/>
          <w:i/>
          <w:color w:val="000000"/>
          <w:sz w:val="20"/>
          <w:szCs w:val="20"/>
          <w:lang w:eastAsia="lv-LV"/>
        </w:rPr>
        <w:t>* Gultu fonds gadā - pieejamo gultu skaits reizināts ar kalendāro dienu skaitu</w:t>
      </w:r>
    </w:p>
    <w:p w14:paraId="156225C5" w14:textId="77777777" w:rsidR="00750763" w:rsidRPr="00750763" w:rsidRDefault="00750763" w:rsidP="00750763">
      <w:pPr>
        <w:ind w:left="720" w:firstLine="0"/>
        <w:jc w:val="left"/>
        <w:rPr>
          <w:rFonts w:eastAsia="Times New Roman" w:cs="Times New Roman"/>
          <w:i/>
          <w:color w:val="000000"/>
          <w:sz w:val="20"/>
          <w:szCs w:val="20"/>
          <w:lang w:eastAsia="lv-LV"/>
        </w:rPr>
      </w:pPr>
      <w:r w:rsidRPr="00750763">
        <w:rPr>
          <w:rFonts w:eastAsia="Times New Roman" w:cs="Times New Roman"/>
          <w:i/>
          <w:color w:val="000000"/>
          <w:sz w:val="20"/>
          <w:szCs w:val="20"/>
          <w:lang w:eastAsia="lv-LV"/>
        </w:rPr>
        <w:t>** Latvijas veselības aprūpes statistikas gadagrāmata 2018, 7.1.tabula</w:t>
      </w:r>
    </w:p>
    <w:p w14:paraId="111E7175" w14:textId="41F6478D" w:rsidR="00750763" w:rsidRDefault="00750763" w:rsidP="00750763">
      <w:pPr>
        <w:spacing w:after="120"/>
        <w:jc w:val="left"/>
        <w:outlineLvl w:val="0"/>
        <w:rPr>
          <w:rFonts w:eastAsia="Times New Roman" w:cs="Times New Roman"/>
          <w:bCs/>
          <w:i/>
          <w:iCs/>
          <w:color w:val="000000"/>
          <w:sz w:val="22"/>
          <w:lang w:eastAsia="lv-LV"/>
        </w:rPr>
      </w:pPr>
      <w:r>
        <w:rPr>
          <w:rFonts w:cs="Times New Roman"/>
          <w:i/>
        </w:rPr>
        <w:t>1.</w:t>
      </w:r>
      <w:r w:rsidRPr="0041250E">
        <w:rPr>
          <w:rFonts w:cs="Times New Roman"/>
          <w:i/>
        </w:rPr>
        <w:t>attēls</w:t>
      </w:r>
      <w:r>
        <w:rPr>
          <w:rFonts w:cs="Times New Roman"/>
          <w:i/>
        </w:rPr>
        <w:t xml:space="preserve"> s</w:t>
      </w:r>
      <w:r w:rsidRPr="00750763">
        <w:rPr>
          <w:rFonts w:eastAsia="Times New Roman" w:cs="Times New Roman"/>
          <w:bCs/>
          <w:i/>
          <w:iCs/>
          <w:color w:val="000000"/>
          <w:sz w:val="22"/>
          <w:lang w:eastAsia="lv-LV"/>
        </w:rPr>
        <w:t>tacionāro gultu noslogojum</w:t>
      </w:r>
      <w:r>
        <w:rPr>
          <w:rFonts w:eastAsia="Times New Roman" w:cs="Times New Roman"/>
          <w:bCs/>
          <w:i/>
          <w:iCs/>
          <w:color w:val="000000"/>
          <w:sz w:val="22"/>
          <w:lang w:eastAsia="lv-LV"/>
        </w:rPr>
        <w:t>s</w:t>
      </w:r>
    </w:p>
    <w:p w14:paraId="2023D5A6" w14:textId="19C80A96" w:rsidR="00750763" w:rsidRDefault="00750763" w:rsidP="00750763">
      <w:pPr>
        <w:spacing w:after="120"/>
        <w:jc w:val="left"/>
        <w:outlineLvl w:val="0"/>
        <w:rPr>
          <w:rFonts w:eastAsia="Times New Roman" w:cs="Times New Roman"/>
          <w:bCs/>
          <w:i/>
          <w:iCs/>
          <w:color w:val="000000"/>
          <w:sz w:val="22"/>
          <w:lang w:eastAsia="lv-LV"/>
        </w:rPr>
      </w:pPr>
    </w:p>
    <w:p w14:paraId="2A4AE8B2" w14:textId="77777777" w:rsidR="00750763" w:rsidRDefault="00750763" w:rsidP="00750763">
      <w:pPr>
        <w:spacing w:after="120"/>
        <w:jc w:val="left"/>
        <w:outlineLvl w:val="0"/>
      </w:pPr>
    </w:p>
    <w:p w14:paraId="449F10E6" w14:textId="5FA505AF" w:rsidR="00750763" w:rsidRDefault="00750763" w:rsidP="00D85891">
      <w:pPr>
        <w:spacing w:after="120"/>
        <w:jc w:val="center"/>
        <w:outlineLvl w:val="0"/>
      </w:pPr>
      <w:r w:rsidRPr="00353E6B">
        <w:rPr>
          <w:rFonts w:cs="Times New Roman"/>
          <w:b/>
          <w:noProof/>
          <w:sz w:val="28"/>
          <w:szCs w:val="28"/>
          <w:lang w:val="en-GB" w:eastAsia="en-GB"/>
        </w:rPr>
        <w:drawing>
          <wp:inline distT="0" distB="0" distL="0" distR="0" wp14:anchorId="3E654FA0" wp14:editId="4FAC8BC2">
            <wp:extent cx="5663620" cy="3200566"/>
            <wp:effectExtent l="19050" t="0" r="1328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8D7F040" w14:textId="4F043B69" w:rsidR="00750763" w:rsidRDefault="00750763" w:rsidP="00D85891">
      <w:pPr>
        <w:spacing w:after="120"/>
        <w:jc w:val="center"/>
        <w:outlineLvl w:val="0"/>
      </w:pPr>
    </w:p>
    <w:p w14:paraId="7067F83F" w14:textId="6F391B31" w:rsidR="00750763" w:rsidRPr="00C7356D" w:rsidRDefault="00750763" w:rsidP="00D85891">
      <w:pPr>
        <w:spacing w:after="120"/>
        <w:jc w:val="center"/>
        <w:outlineLvl w:val="0"/>
      </w:pPr>
      <w:r>
        <w:rPr>
          <w:rFonts w:cs="Times New Roman"/>
          <w:i/>
        </w:rPr>
        <w:t>2.</w:t>
      </w:r>
      <w:r w:rsidRPr="0041250E">
        <w:rPr>
          <w:rFonts w:cs="Times New Roman"/>
          <w:i/>
        </w:rPr>
        <w:t xml:space="preserve">attēls </w:t>
      </w:r>
      <w:r w:rsidRPr="00353E6B">
        <w:rPr>
          <w:rFonts w:cs="Times New Roman"/>
          <w:i/>
        </w:rPr>
        <w:t xml:space="preserve">Vidējais </w:t>
      </w:r>
      <w:proofErr w:type="spellStart"/>
      <w:r w:rsidRPr="00353E6B">
        <w:rPr>
          <w:rFonts w:cs="Times New Roman"/>
          <w:i/>
        </w:rPr>
        <w:t>gultdienu</w:t>
      </w:r>
      <w:proofErr w:type="spellEnd"/>
      <w:r w:rsidRPr="00353E6B">
        <w:rPr>
          <w:rFonts w:cs="Times New Roman"/>
          <w:i/>
        </w:rPr>
        <w:t xml:space="preserve"> skaits uz pacientu (vidējais ārstēšanās ilgums, dienas) </w:t>
      </w:r>
      <w:r w:rsidRPr="0041250E">
        <w:rPr>
          <w:rFonts w:cs="Times New Roman"/>
          <w:i/>
        </w:rPr>
        <w:t>dinamikā laika periodā no 2015. – 2019.gadam</w:t>
      </w:r>
    </w:p>
    <w:sectPr w:rsidR="00750763" w:rsidRPr="00C7356D" w:rsidSect="004B12B1"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E2C5C" w14:textId="77777777" w:rsidR="0053708A" w:rsidRDefault="0053708A" w:rsidP="002218FA">
      <w:r>
        <w:separator/>
      </w:r>
    </w:p>
  </w:endnote>
  <w:endnote w:type="continuationSeparator" w:id="0">
    <w:p w14:paraId="4D708C63" w14:textId="77777777" w:rsidR="0053708A" w:rsidRDefault="0053708A" w:rsidP="0022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8387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C6A9F6" w14:textId="663B6A53" w:rsidR="00B444DA" w:rsidRDefault="00B444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CE3FFE" w14:textId="77777777" w:rsidR="00B444DA" w:rsidRDefault="00B44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78805" w14:textId="77777777" w:rsidR="0053708A" w:rsidRDefault="0053708A" w:rsidP="002218FA">
      <w:r>
        <w:separator/>
      </w:r>
    </w:p>
  </w:footnote>
  <w:footnote w:type="continuationSeparator" w:id="0">
    <w:p w14:paraId="2160EAB5" w14:textId="77777777" w:rsidR="0053708A" w:rsidRDefault="0053708A" w:rsidP="00221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9362D"/>
    <w:multiLevelType w:val="hybridMultilevel"/>
    <w:tmpl w:val="4D841164"/>
    <w:lvl w:ilvl="0" w:tplc="073CFF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403BC"/>
    <w:multiLevelType w:val="hybridMultilevel"/>
    <w:tmpl w:val="F58CA6B4"/>
    <w:lvl w:ilvl="0" w:tplc="0DACD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B251B"/>
    <w:multiLevelType w:val="hybridMultilevel"/>
    <w:tmpl w:val="7222059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77399"/>
    <w:multiLevelType w:val="hybridMultilevel"/>
    <w:tmpl w:val="6D4C9712"/>
    <w:lvl w:ilvl="0" w:tplc="0DACD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F24"/>
    <w:rsid w:val="00006298"/>
    <w:rsid w:val="0001088F"/>
    <w:rsid w:val="00026999"/>
    <w:rsid w:val="0004018B"/>
    <w:rsid w:val="00064151"/>
    <w:rsid w:val="00064F2F"/>
    <w:rsid w:val="00090398"/>
    <w:rsid w:val="000C36F6"/>
    <w:rsid w:val="000C7BC1"/>
    <w:rsid w:val="000D2CCD"/>
    <w:rsid w:val="001075EC"/>
    <w:rsid w:val="00112EA3"/>
    <w:rsid w:val="00151F1D"/>
    <w:rsid w:val="00186734"/>
    <w:rsid w:val="001A0F3B"/>
    <w:rsid w:val="00217313"/>
    <w:rsid w:val="0021766A"/>
    <w:rsid w:val="002218FA"/>
    <w:rsid w:val="0023160A"/>
    <w:rsid w:val="00236937"/>
    <w:rsid w:val="00247B60"/>
    <w:rsid w:val="002544BE"/>
    <w:rsid w:val="00256B7C"/>
    <w:rsid w:val="002938C3"/>
    <w:rsid w:val="002B1A74"/>
    <w:rsid w:val="002B60C3"/>
    <w:rsid w:val="002E3E0E"/>
    <w:rsid w:val="00301AB2"/>
    <w:rsid w:val="0031230A"/>
    <w:rsid w:val="0031606F"/>
    <w:rsid w:val="003432E5"/>
    <w:rsid w:val="0034511C"/>
    <w:rsid w:val="00392A21"/>
    <w:rsid w:val="00394A3A"/>
    <w:rsid w:val="003B4F0B"/>
    <w:rsid w:val="003E2B37"/>
    <w:rsid w:val="003F3DA5"/>
    <w:rsid w:val="003F711B"/>
    <w:rsid w:val="004242D0"/>
    <w:rsid w:val="00436309"/>
    <w:rsid w:val="00437B2B"/>
    <w:rsid w:val="00437C34"/>
    <w:rsid w:val="00445F01"/>
    <w:rsid w:val="00475B9F"/>
    <w:rsid w:val="004A158B"/>
    <w:rsid w:val="004A1BCB"/>
    <w:rsid w:val="004B12B1"/>
    <w:rsid w:val="004B7719"/>
    <w:rsid w:val="004F063C"/>
    <w:rsid w:val="004F115A"/>
    <w:rsid w:val="00504E33"/>
    <w:rsid w:val="00505474"/>
    <w:rsid w:val="005162FA"/>
    <w:rsid w:val="00525C0E"/>
    <w:rsid w:val="0053708A"/>
    <w:rsid w:val="00543A0F"/>
    <w:rsid w:val="00543CFA"/>
    <w:rsid w:val="00543E46"/>
    <w:rsid w:val="00551CD6"/>
    <w:rsid w:val="005C4338"/>
    <w:rsid w:val="005F11A1"/>
    <w:rsid w:val="00632EE2"/>
    <w:rsid w:val="00644E37"/>
    <w:rsid w:val="006750F0"/>
    <w:rsid w:val="006A1F24"/>
    <w:rsid w:val="00716261"/>
    <w:rsid w:val="007351B9"/>
    <w:rsid w:val="00741E39"/>
    <w:rsid w:val="00750763"/>
    <w:rsid w:val="007B7025"/>
    <w:rsid w:val="007D6D8E"/>
    <w:rsid w:val="007F5351"/>
    <w:rsid w:val="00836B7F"/>
    <w:rsid w:val="0084528F"/>
    <w:rsid w:val="00857FE8"/>
    <w:rsid w:val="00872FA5"/>
    <w:rsid w:val="00890986"/>
    <w:rsid w:val="008C78EE"/>
    <w:rsid w:val="008D6F88"/>
    <w:rsid w:val="008E14B6"/>
    <w:rsid w:val="008E2648"/>
    <w:rsid w:val="0097652D"/>
    <w:rsid w:val="009A6DE4"/>
    <w:rsid w:val="009C3291"/>
    <w:rsid w:val="009D5415"/>
    <w:rsid w:val="009E5763"/>
    <w:rsid w:val="00A07B26"/>
    <w:rsid w:val="00A138F2"/>
    <w:rsid w:val="00A2050F"/>
    <w:rsid w:val="00A32782"/>
    <w:rsid w:val="00A65A89"/>
    <w:rsid w:val="00AC3811"/>
    <w:rsid w:val="00B22470"/>
    <w:rsid w:val="00B30DDD"/>
    <w:rsid w:val="00B320C8"/>
    <w:rsid w:val="00B444DA"/>
    <w:rsid w:val="00B454AE"/>
    <w:rsid w:val="00B5470B"/>
    <w:rsid w:val="00B80606"/>
    <w:rsid w:val="00BA6804"/>
    <w:rsid w:val="00C20794"/>
    <w:rsid w:val="00C93A0E"/>
    <w:rsid w:val="00CB1281"/>
    <w:rsid w:val="00CC0449"/>
    <w:rsid w:val="00CC13A4"/>
    <w:rsid w:val="00CF4969"/>
    <w:rsid w:val="00D02FB4"/>
    <w:rsid w:val="00D0400C"/>
    <w:rsid w:val="00D203C8"/>
    <w:rsid w:val="00D36334"/>
    <w:rsid w:val="00D55F4E"/>
    <w:rsid w:val="00D85891"/>
    <w:rsid w:val="00D8623A"/>
    <w:rsid w:val="00D868EF"/>
    <w:rsid w:val="00DA54E7"/>
    <w:rsid w:val="00E10665"/>
    <w:rsid w:val="00E3076A"/>
    <w:rsid w:val="00E3740B"/>
    <w:rsid w:val="00E923CA"/>
    <w:rsid w:val="00EB62EA"/>
    <w:rsid w:val="00EC3838"/>
    <w:rsid w:val="00F417E9"/>
    <w:rsid w:val="00FC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8446B"/>
  <w15:docId w15:val="{28EA84B7-8D45-4429-8E05-E932D666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969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42D0"/>
    <w:pPr>
      <w:spacing w:before="120" w:after="120"/>
      <w:ind w:firstLine="0"/>
      <w:jc w:val="center"/>
      <w:outlineLvl w:val="2"/>
    </w:pPr>
    <w:rPr>
      <w:rFonts w:eastAsia="Times New Roman" w:cs="Times New Roman"/>
      <w:i/>
      <w:iCs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505474"/>
    <w:pPr>
      <w:ind w:firstLine="720"/>
    </w:pPr>
    <w:rPr>
      <w:rFonts w:eastAsia="Times New Roman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05474"/>
    <w:rPr>
      <w:rFonts w:ascii="Times New Roman" w:eastAsia="Times New Roman" w:hAnsi="Times New Roman" w:cs="Times New Roman"/>
      <w:sz w:val="28"/>
      <w:szCs w:val="28"/>
    </w:rPr>
  </w:style>
  <w:style w:type="paragraph" w:customStyle="1" w:styleId="teksts">
    <w:name w:val="teksts"/>
    <w:basedOn w:val="Normal"/>
    <w:uiPriority w:val="99"/>
    <w:rsid w:val="00A138F2"/>
    <w:pPr>
      <w:spacing w:line="360" w:lineRule="auto"/>
    </w:pPr>
    <w:rPr>
      <w:rFonts w:eastAsia="Times New Roman" w:cs="Times New Roman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A138F2"/>
    <w:pPr>
      <w:ind w:left="720" w:firstLine="0"/>
      <w:jc w:val="left"/>
    </w:pPr>
    <w:rPr>
      <w:rFonts w:eastAsia="Times New Roman" w:cs="Times New Roman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9"/>
    <w:rsid w:val="004242D0"/>
    <w:rPr>
      <w:rFonts w:ascii="Times New Roman" w:eastAsia="Times New Roman" w:hAnsi="Times New Roman" w:cs="Times New Roman"/>
      <w:i/>
      <w:i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2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8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8F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218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8F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jlkmn\Documents\Atskaites\Statistika\Kopsav_pacienti_stac_DS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jlkmn\Documents\Atskaites\Statistika\Kopsav_Amb_DS_Stac_Z.a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jlkmn\Documents\Atskaites\Statistika\Kopsav_pacienti_stac_DS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jlkmn\Documents\Atskaites\Statistika\Kopsav_Amb_DS_Stac_Z.a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jlkmn\Documents\Atskaites\Statistika\Kopsav_Amb_DS_Stac_Z.a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296479182469169"/>
          <c:y val="5.0666251760267948E-2"/>
          <c:w val="0.7487075215077299"/>
          <c:h val="0.835010745764307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Ambulat!$B$13</c:f>
              <c:strCache>
                <c:ptCount val="1"/>
                <c:pt idx="0">
                  <c:v>Pirmreizējas konsultācijas</c:v>
                </c:pt>
              </c:strCache>
            </c:strRef>
          </c:tx>
          <c:invertIfNegative val="0"/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105170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1AA0-4570-B92D-14AED9BCD0E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Lit>
              <c:formatCode>General</c:formatCode>
              <c:ptCount val="5"/>
              <c:pt idx="0">
                <c:v>2015</c:v>
              </c:pt>
              <c:pt idx="1">
                <c:v>2016</c:v>
              </c:pt>
              <c:pt idx="2">
                <c:v>2017</c:v>
              </c:pt>
              <c:pt idx="3">
                <c:v>2018</c:v>
              </c:pt>
              <c:pt idx="4">
                <c:v>2019</c:v>
              </c:pt>
            </c:numLit>
          </c:cat>
          <c:val>
            <c:numRef>
              <c:f>Ambulat!$B$14:$B$18</c:f>
              <c:numCache>
                <c:formatCode>General</c:formatCode>
                <c:ptCount val="5"/>
                <c:pt idx="0">
                  <c:v>88926</c:v>
                </c:pt>
                <c:pt idx="1">
                  <c:v>95006</c:v>
                </c:pt>
                <c:pt idx="2">
                  <c:v>95819</c:v>
                </c:pt>
                <c:pt idx="3">
                  <c:v>99656</c:v>
                </c:pt>
                <c:pt idx="4">
                  <c:v>105173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AA0-4570-B92D-14AED9BCD0E6}"/>
            </c:ext>
          </c:extLst>
        </c:ser>
        <c:ser>
          <c:idx val="1"/>
          <c:order val="1"/>
          <c:tx>
            <c:strRef>
              <c:f>Ambulat!$C$13</c:f>
              <c:strCache>
                <c:ptCount val="1"/>
                <c:pt idx="0">
                  <c:v>Atkārtotas konsultācijas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Lit>
              <c:formatCode>General</c:formatCode>
              <c:ptCount val="5"/>
              <c:pt idx="0">
                <c:v>2015</c:v>
              </c:pt>
              <c:pt idx="1">
                <c:v>2016</c:v>
              </c:pt>
              <c:pt idx="2">
                <c:v>2017</c:v>
              </c:pt>
              <c:pt idx="3">
                <c:v>2018</c:v>
              </c:pt>
              <c:pt idx="4">
                <c:v>2019</c:v>
              </c:pt>
            </c:numLit>
          </c:cat>
          <c:val>
            <c:numRef>
              <c:f>Ambulat!$C$14:$C$18</c:f>
              <c:numCache>
                <c:formatCode>General</c:formatCode>
                <c:ptCount val="5"/>
                <c:pt idx="0">
                  <c:v>26530</c:v>
                </c:pt>
                <c:pt idx="1">
                  <c:v>30279</c:v>
                </c:pt>
                <c:pt idx="2">
                  <c:v>29060</c:v>
                </c:pt>
                <c:pt idx="3">
                  <c:v>27303</c:v>
                </c:pt>
                <c:pt idx="4">
                  <c:v>28708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AA0-4570-B92D-14AED9BCD0E6}"/>
            </c:ext>
          </c:extLst>
        </c:ser>
        <c:ser>
          <c:idx val="2"/>
          <c:order val="2"/>
          <c:tx>
            <c:strRef>
              <c:f>Ambulat!$D$13</c:f>
              <c:strCache>
                <c:ptCount val="1"/>
                <c:pt idx="0">
                  <c:v>Uzņemšanā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Lit>
              <c:formatCode>General</c:formatCode>
              <c:ptCount val="5"/>
              <c:pt idx="0">
                <c:v>2015</c:v>
              </c:pt>
              <c:pt idx="1">
                <c:v>2016</c:v>
              </c:pt>
              <c:pt idx="2">
                <c:v>2017</c:v>
              </c:pt>
              <c:pt idx="3">
                <c:v>2018</c:v>
              </c:pt>
              <c:pt idx="4">
                <c:v>2019</c:v>
              </c:pt>
            </c:numLit>
          </c:cat>
          <c:val>
            <c:numRef>
              <c:f>Ambulat!$D$14:$D$18</c:f>
              <c:numCache>
                <c:formatCode>General</c:formatCode>
                <c:ptCount val="5"/>
                <c:pt idx="0">
                  <c:v>8704</c:v>
                </c:pt>
                <c:pt idx="1">
                  <c:v>9696</c:v>
                </c:pt>
                <c:pt idx="2">
                  <c:v>10496</c:v>
                </c:pt>
                <c:pt idx="3">
                  <c:v>11279</c:v>
                </c:pt>
                <c:pt idx="4">
                  <c:v>12743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AA0-4570-B92D-14AED9BCD0E6}"/>
            </c:ext>
          </c:extLst>
        </c:ser>
        <c:ser>
          <c:idx val="3"/>
          <c:order val="3"/>
          <c:tx>
            <c:strRef>
              <c:f>Ambulat!$E$13</c:f>
              <c:strCache>
                <c:ptCount val="1"/>
                <c:pt idx="0">
                  <c:v>KOPĀ</c:v>
                </c:pt>
              </c:strCache>
            </c:strRef>
          </c:tx>
          <c:invertIfNegative val="0"/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146621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1AA0-4570-B92D-14AED9BCD0E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Lit>
              <c:formatCode>General</c:formatCode>
              <c:ptCount val="5"/>
              <c:pt idx="0">
                <c:v>2015</c:v>
              </c:pt>
              <c:pt idx="1">
                <c:v>2016</c:v>
              </c:pt>
              <c:pt idx="2">
                <c:v>2017</c:v>
              </c:pt>
              <c:pt idx="3">
                <c:v>2018</c:v>
              </c:pt>
              <c:pt idx="4">
                <c:v>2019</c:v>
              </c:pt>
            </c:numLit>
          </c:cat>
          <c:val>
            <c:numRef>
              <c:f>Ambulat!$E$14:$E$18</c:f>
              <c:numCache>
                <c:formatCode>General</c:formatCode>
                <c:ptCount val="5"/>
                <c:pt idx="0">
                  <c:v>124160</c:v>
                </c:pt>
                <c:pt idx="1">
                  <c:v>134981</c:v>
                </c:pt>
                <c:pt idx="2">
                  <c:v>135375</c:v>
                </c:pt>
                <c:pt idx="3">
                  <c:v>138238</c:v>
                </c:pt>
                <c:pt idx="4">
                  <c:v>146624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AA0-4570-B92D-14AED9BCD0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332160"/>
        <c:axId val="90371584"/>
      </c:barChart>
      <c:catAx>
        <c:axId val="903321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0371584"/>
        <c:crosses val="autoZero"/>
        <c:auto val="1"/>
        <c:lblAlgn val="ctr"/>
        <c:lblOffset val="100"/>
        <c:noMultiLvlLbl val="0"/>
      </c:catAx>
      <c:valAx>
        <c:axId val="9037158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lv-LV" sz="900" b="0">
                    <a:latin typeface="Times New Roman" pitchFamily="18" charset="0"/>
                    <a:cs typeface="Times New Roman" pitchFamily="18" charset="0"/>
                  </a:rPr>
                  <a:t>Konsultācuju</a:t>
                </a:r>
                <a:r>
                  <a:rPr lang="lv-LV" sz="900" b="0" baseline="0">
                    <a:latin typeface="Times New Roman" pitchFamily="18" charset="0"/>
                    <a:cs typeface="Times New Roman" pitchFamily="18" charset="0"/>
                  </a:rPr>
                  <a:t> skaits</a:t>
                </a:r>
                <a:endParaRPr lang="lv-LV" sz="900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90332160"/>
        <c:crossesAt val="1"/>
        <c:crossBetween val="between"/>
      </c:valAx>
    </c:plotArea>
    <c:legend>
      <c:legendPos val="r"/>
      <c:layout>
        <c:manualLayout>
          <c:xMode val="edge"/>
          <c:yMode val="edge"/>
          <c:x val="0.85914938182990352"/>
          <c:y val="0.33516031553485526"/>
          <c:w val="0.12696168185428491"/>
          <c:h val="0.44376667100302741"/>
        </c:manualLayout>
      </c:layout>
      <c:overlay val="0"/>
      <c:txPr>
        <a:bodyPr/>
        <a:lstStyle/>
        <a:p>
          <a:pPr>
            <a:defRPr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Ambulat!$A$28</c:f>
              <c:strCache>
                <c:ptCount val="1"/>
                <c:pt idx="0">
                  <c:v>Manipulāciju skaits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Lit>
              <c:formatCode>General</c:formatCode>
              <c:ptCount val="5"/>
              <c:pt idx="0">
                <c:v>2015</c:v>
              </c:pt>
              <c:pt idx="1">
                <c:v>2016</c:v>
              </c:pt>
              <c:pt idx="2">
                <c:v>2017</c:v>
              </c:pt>
              <c:pt idx="3">
                <c:v>2018</c:v>
              </c:pt>
              <c:pt idx="4">
                <c:v>2019</c:v>
              </c:pt>
            </c:numLit>
          </c:cat>
          <c:val>
            <c:numRef>
              <c:f>Ambulat!$B$28:$F$28</c:f>
              <c:numCache>
                <c:formatCode>General</c:formatCode>
                <c:ptCount val="5"/>
                <c:pt idx="0">
                  <c:v>156716</c:v>
                </c:pt>
                <c:pt idx="1">
                  <c:v>175167</c:v>
                </c:pt>
                <c:pt idx="2">
                  <c:v>177058</c:v>
                </c:pt>
                <c:pt idx="3">
                  <c:v>186899</c:v>
                </c:pt>
                <c:pt idx="4">
                  <c:v>216830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7F8-45E1-9E45-5778E19ACCB2}"/>
            </c:ext>
          </c:extLst>
        </c:ser>
        <c:ser>
          <c:idx val="0"/>
          <c:order val="1"/>
          <c:tx>
            <c:strRef>
              <c:f>Ambulat!$A$27</c:f>
              <c:strCache>
                <c:ptCount val="1"/>
                <c:pt idx="0">
                  <c:v>Pacientu skaits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Lit>
              <c:formatCode>General</c:formatCode>
              <c:ptCount val="5"/>
              <c:pt idx="0">
                <c:v>2015</c:v>
              </c:pt>
              <c:pt idx="1">
                <c:v>2016</c:v>
              </c:pt>
              <c:pt idx="2">
                <c:v>2017</c:v>
              </c:pt>
              <c:pt idx="3">
                <c:v>2018</c:v>
              </c:pt>
              <c:pt idx="4">
                <c:v>2019</c:v>
              </c:pt>
            </c:numLit>
          </c:cat>
          <c:val>
            <c:numRef>
              <c:f>Ambulat!$B$27:$F$27</c:f>
              <c:numCache>
                <c:formatCode>General</c:formatCode>
                <c:ptCount val="5"/>
                <c:pt idx="0">
                  <c:v>121978</c:v>
                </c:pt>
                <c:pt idx="1">
                  <c:v>133145</c:v>
                </c:pt>
                <c:pt idx="2">
                  <c:v>136708</c:v>
                </c:pt>
                <c:pt idx="3">
                  <c:v>144810</c:v>
                </c:pt>
                <c:pt idx="4">
                  <c:v>166927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7F8-45E1-9E45-5778E19ACCB2}"/>
            </c:ext>
          </c:extLst>
        </c:ser>
        <c:ser>
          <c:idx val="2"/>
          <c:order val="2"/>
          <c:tx>
            <c:strRef>
              <c:f>Ambulat!$A$29</c:f>
              <c:strCache>
                <c:ptCount val="1"/>
                <c:pt idx="0">
                  <c:v>vienā apmeklējuma reizē veiktās manipulācijas vienam pacientam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Lit>
              <c:formatCode>General</c:formatCode>
              <c:ptCount val="5"/>
              <c:pt idx="0">
                <c:v>2015</c:v>
              </c:pt>
              <c:pt idx="1">
                <c:v>2016</c:v>
              </c:pt>
              <c:pt idx="2">
                <c:v>2017</c:v>
              </c:pt>
              <c:pt idx="3">
                <c:v>2018</c:v>
              </c:pt>
              <c:pt idx="4">
                <c:v>2019</c:v>
              </c:pt>
            </c:numLit>
          </c:cat>
          <c:val>
            <c:numRef>
              <c:f>Ambulat!$B$29:$F$29</c:f>
              <c:numCache>
                <c:formatCode>0.00</c:formatCode>
                <c:ptCount val="5"/>
                <c:pt idx="0">
                  <c:v>1.2847890603223533</c:v>
                </c:pt>
                <c:pt idx="1">
                  <c:v>1.3156108002553606</c:v>
                </c:pt>
                <c:pt idx="2">
                  <c:v>1.2951546361588202</c:v>
                </c:pt>
                <c:pt idx="3">
                  <c:v>1.2906498170015879</c:v>
                </c:pt>
                <c:pt idx="4">
                  <c:v>1.2989510384778975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7F8-45E1-9E45-5778E19ACCB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03692544"/>
        <c:axId val="103854464"/>
      </c:lineChart>
      <c:catAx>
        <c:axId val="103692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3854464"/>
        <c:crosses val="autoZero"/>
        <c:auto val="1"/>
        <c:lblAlgn val="ctr"/>
        <c:lblOffset val="100"/>
        <c:tickMarkSkip val="1"/>
        <c:noMultiLvlLbl val="0"/>
      </c:catAx>
      <c:valAx>
        <c:axId val="1038544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lv-LV" sz="900" b="0">
                    <a:latin typeface="Times New Roman" pitchFamily="18" charset="0"/>
                    <a:cs typeface="Times New Roman" pitchFamily="18" charset="0"/>
                  </a:rPr>
                  <a:t>Manipulāciju/ pacientu skaits</a:t>
                </a:r>
              </a:p>
            </c:rich>
          </c:tx>
          <c:layout>
            <c:manualLayout>
              <c:xMode val="edge"/>
              <c:yMode val="edge"/>
              <c:x val="2.2564503832323352E-2"/>
              <c:y val="0.2706688526805754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036925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41199012071067"/>
          <c:y val="0.14211906052888021"/>
          <c:w val="0.19969526841670701"/>
          <c:h val="0.57905878049813875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48990759803296"/>
          <c:y val="3.958301985523488E-2"/>
          <c:w val="0.77754647358815798"/>
          <c:h val="0.597258311193357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DS!$B$3</c:f>
              <c:strCache>
                <c:ptCount val="1"/>
                <c:pt idx="0">
                  <c:v>2015.</c:v>
                </c:pt>
              </c:strCache>
            </c:strRef>
          </c:tx>
          <c:invertIfNegative val="0"/>
          <c:cat>
            <c:strRef>
              <c:f>DS!$A$4:$A$12</c:f>
              <c:strCache>
                <c:ptCount val="9"/>
                <c:pt idx="0">
                  <c:v>Terapijas</c:v>
                </c:pt>
                <c:pt idx="1">
                  <c:v>Gastroenteroloģijas - Pieaugušie</c:v>
                </c:pt>
                <c:pt idx="2">
                  <c:v>Ķirurģijas</c:v>
                </c:pt>
                <c:pt idx="3">
                  <c:v>Traumatoloģijas</c:v>
                </c:pt>
                <c:pt idx="4">
                  <c:v>Uroloģijas </c:v>
                </c:pt>
                <c:pt idx="5">
                  <c:v>Ginekoloģijas</c:v>
                </c:pt>
                <c:pt idx="6">
                  <c:v>Neiroloģijas</c:v>
                </c:pt>
                <c:pt idx="7">
                  <c:v>Otolaringoloģijas</c:v>
                </c:pt>
                <c:pt idx="8">
                  <c:v>Hemodialīzes</c:v>
                </c:pt>
              </c:strCache>
            </c:strRef>
          </c:cat>
          <c:val>
            <c:numRef>
              <c:f>DS!$B$4:$B$12</c:f>
              <c:numCache>
                <c:formatCode>General</c:formatCode>
                <c:ptCount val="9"/>
                <c:pt idx="0">
                  <c:v>148</c:v>
                </c:pt>
                <c:pt idx="2">
                  <c:v>459</c:v>
                </c:pt>
                <c:pt idx="3">
                  <c:v>90</c:v>
                </c:pt>
                <c:pt idx="5">
                  <c:v>235</c:v>
                </c:pt>
                <c:pt idx="6">
                  <c:v>57</c:v>
                </c:pt>
                <c:pt idx="7">
                  <c:v>572</c:v>
                </c:pt>
                <c:pt idx="8">
                  <c:v>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1F-409F-89F8-7AB33DE6F285}"/>
            </c:ext>
          </c:extLst>
        </c:ser>
        <c:ser>
          <c:idx val="1"/>
          <c:order val="1"/>
          <c:tx>
            <c:strRef>
              <c:f>DS!$C$3</c:f>
              <c:strCache>
                <c:ptCount val="1"/>
                <c:pt idx="0">
                  <c:v>2016.</c:v>
                </c:pt>
              </c:strCache>
            </c:strRef>
          </c:tx>
          <c:invertIfNegative val="0"/>
          <c:cat>
            <c:strRef>
              <c:f>DS!$A$4:$A$12</c:f>
              <c:strCache>
                <c:ptCount val="9"/>
                <c:pt idx="0">
                  <c:v>Terapijas</c:v>
                </c:pt>
                <c:pt idx="1">
                  <c:v>Gastroenteroloģijas - Pieaugušie</c:v>
                </c:pt>
                <c:pt idx="2">
                  <c:v>Ķirurģijas</c:v>
                </c:pt>
                <c:pt idx="3">
                  <c:v>Traumatoloģijas</c:v>
                </c:pt>
                <c:pt idx="4">
                  <c:v>Uroloģijas </c:v>
                </c:pt>
                <c:pt idx="5">
                  <c:v>Ginekoloģijas</c:v>
                </c:pt>
                <c:pt idx="6">
                  <c:v>Neiroloģijas</c:v>
                </c:pt>
                <c:pt idx="7">
                  <c:v>Otolaringoloģijas</c:v>
                </c:pt>
                <c:pt idx="8">
                  <c:v>Hemodialīzes</c:v>
                </c:pt>
              </c:strCache>
            </c:strRef>
          </c:cat>
          <c:val>
            <c:numRef>
              <c:f>DS!$C$4:$C$12</c:f>
              <c:numCache>
                <c:formatCode>General</c:formatCode>
                <c:ptCount val="9"/>
                <c:pt idx="0">
                  <c:v>519</c:v>
                </c:pt>
                <c:pt idx="2">
                  <c:v>40</c:v>
                </c:pt>
                <c:pt idx="3">
                  <c:v>180</c:v>
                </c:pt>
                <c:pt idx="5">
                  <c:v>249</c:v>
                </c:pt>
                <c:pt idx="6">
                  <c:v>56</c:v>
                </c:pt>
                <c:pt idx="7">
                  <c:v>549</c:v>
                </c:pt>
                <c:pt idx="8">
                  <c:v>161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1F-409F-89F8-7AB33DE6F285}"/>
            </c:ext>
          </c:extLst>
        </c:ser>
        <c:ser>
          <c:idx val="2"/>
          <c:order val="2"/>
          <c:tx>
            <c:strRef>
              <c:f>DS!$D$3</c:f>
              <c:strCache>
                <c:ptCount val="1"/>
                <c:pt idx="0">
                  <c:v>2017.</c:v>
                </c:pt>
              </c:strCache>
            </c:strRef>
          </c:tx>
          <c:invertIfNegative val="0"/>
          <c:cat>
            <c:strRef>
              <c:f>DS!$A$4:$A$12</c:f>
              <c:strCache>
                <c:ptCount val="9"/>
                <c:pt idx="0">
                  <c:v>Terapijas</c:v>
                </c:pt>
                <c:pt idx="1">
                  <c:v>Gastroenteroloģijas - Pieaugušie</c:v>
                </c:pt>
                <c:pt idx="2">
                  <c:v>Ķirurģijas</c:v>
                </c:pt>
                <c:pt idx="3">
                  <c:v>Traumatoloģijas</c:v>
                </c:pt>
                <c:pt idx="4">
                  <c:v>Uroloģijas </c:v>
                </c:pt>
                <c:pt idx="5">
                  <c:v>Ginekoloģijas</c:v>
                </c:pt>
                <c:pt idx="6">
                  <c:v>Neiroloģijas</c:v>
                </c:pt>
                <c:pt idx="7">
                  <c:v>Otolaringoloģijas</c:v>
                </c:pt>
                <c:pt idx="8">
                  <c:v>Hemodialīzes</c:v>
                </c:pt>
              </c:strCache>
            </c:strRef>
          </c:cat>
          <c:val>
            <c:numRef>
              <c:f>DS!$D$4:$D$12</c:f>
              <c:numCache>
                <c:formatCode>General</c:formatCode>
                <c:ptCount val="9"/>
                <c:pt idx="0">
                  <c:v>587</c:v>
                </c:pt>
                <c:pt idx="2">
                  <c:v>32</c:v>
                </c:pt>
                <c:pt idx="3">
                  <c:v>180</c:v>
                </c:pt>
                <c:pt idx="5">
                  <c:v>227</c:v>
                </c:pt>
                <c:pt idx="6">
                  <c:v>81</c:v>
                </c:pt>
                <c:pt idx="7">
                  <c:v>536</c:v>
                </c:pt>
                <c:pt idx="8">
                  <c:v>180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91F-409F-89F8-7AB33DE6F285}"/>
            </c:ext>
          </c:extLst>
        </c:ser>
        <c:ser>
          <c:idx val="3"/>
          <c:order val="3"/>
          <c:tx>
            <c:strRef>
              <c:f>DS!$E$3</c:f>
              <c:strCache>
                <c:ptCount val="1"/>
                <c:pt idx="0">
                  <c:v>2018.</c:v>
                </c:pt>
              </c:strCache>
            </c:strRef>
          </c:tx>
          <c:invertIfNegative val="0"/>
          <c:cat>
            <c:strRef>
              <c:f>DS!$A$4:$A$12</c:f>
              <c:strCache>
                <c:ptCount val="9"/>
                <c:pt idx="0">
                  <c:v>Terapijas</c:v>
                </c:pt>
                <c:pt idx="1">
                  <c:v>Gastroenteroloģijas - Pieaugušie</c:v>
                </c:pt>
                <c:pt idx="2">
                  <c:v>Ķirurģijas</c:v>
                </c:pt>
                <c:pt idx="3">
                  <c:v>Traumatoloģijas</c:v>
                </c:pt>
                <c:pt idx="4">
                  <c:v>Uroloģijas </c:v>
                </c:pt>
                <c:pt idx="5">
                  <c:v>Ginekoloģijas</c:v>
                </c:pt>
                <c:pt idx="6">
                  <c:v>Neiroloģijas</c:v>
                </c:pt>
                <c:pt idx="7">
                  <c:v>Otolaringoloģijas</c:v>
                </c:pt>
                <c:pt idx="8">
                  <c:v>Hemodialīzes</c:v>
                </c:pt>
              </c:strCache>
            </c:strRef>
          </c:cat>
          <c:val>
            <c:numRef>
              <c:f>DS!$E$4:$E$12</c:f>
              <c:numCache>
                <c:formatCode>General</c:formatCode>
                <c:ptCount val="9"/>
                <c:pt idx="0">
                  <c:v>180</c:v>
                </c:pt>
                <c:pt idx="1">
                  <c:v>517</c:v>
                </c:pt>
                <c:pt idx="2">
                  <c:v>78</c:v>
                </c:pt>
                <c:pt idx="3">
                  <c:v>196</c:v>
                </c:pt>
                <c:pt idx="4">
                  <c:v>25</c:v>
                </c:pt>
                <c:pt idx="5">
                  <c:v>283</c:v>
                </c:pt>
                <c:pt idx="6">
                  <c:v>63</c:v>
                </c:pt>
                <c:pt idx="7">
                  <c:v>555</c:v>
                </c:pt>
                <c:pt idx="8">
                  <c:v>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91F-409F-89F8-7AB33DE6F285}"/>
            </c:ext>
          </c:extLst>
        </c:ser>
        <c:ser>
          <c:idx val="4"/>
          <c:order val="4"/>
          <c:tx>
            <c:strRef>
              <c:f>DS!$F$3</c:f>
              <c:strCache>
                <c:ptCount val="1"/>
                <c:pt idx="0">
                  <c:v>2019.</c:v>
                </c:pt>
              </c:strCache>
            </c:strRef>
          </c:tx>
          <c:invertIfNegative val="0"/>
          <c:cat>
            <c:strRef>
              <c:f>DS!$A$4:$A$12</c:f>
              <c:strCache>
                <c:ptCount val="9"/>
                <c:pt idx="0">
                  <c:v>Terapijas</c:v>
                </c:pt>
                <c:pt idx="1">
                  <c:v>Gastroenteroloģijas - Pieaugušie</c:v>
                </c:pt>
                <c:pt idx="2">
                  <c:v>Ķirurģijas</c:v>
                </c:pt>
                <c:pt idx="3">
                  <c:v>Traumatoloģijas</c:v>
                </c:pt>
                <c:pt idx="4">
                  <c:v>Uroloģijas </c:v>
                </c:pt>
                <c:pt idx="5">
                  <c:v>Ginekoloģijas</c:v>
                </c:pt>
                <c:pt idx="6">
                  <c:v>Neiroloģijas</c:v>
                </c:pt>
                <c:pt idx="7">
                  <c:v>Otolaringoloģijas</c:v>
                </c:pt>
                <c:pt idx="8">
                  <c:v>Hemodialīzes</c:v>
                </c:pt>
              </c:strCache>
            </c:strRef>
          </c:cat>
          <c:val>
            <c:numRef>
              <c:f>DS!$F$4:$F$12</c:f>
              <c:numCache>
                <c:formatCode>General</c:formatCode>
                <c:ptCount val="9"/>
                <c:pt idx="0">
                  <c:v>240</c:v>
                </c:pt>
                <c:pt idx="1">
                  <c:v>589</c:v>
                </c:pt>
                <c:pt idx="2">
                  <c:v>210</c:v>
                </c:pt>
                <c:pt idx="3">
                  <c:v>224</c:v>
                </c:pt>
                <c:pt idx="4">
                  <c:v>63</c:v>
                </c:pt>
                <c:pt idx="5">
                  <c:v>270</c:v>
                </c:pt>
                <c:pt idx="6">
                  <c:v>71</c:v>
                </c:pt>
                <c:pt idx="7">
                  <c:v>572</c:v>
                </c:pt>
                <c:pt idx="8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91F-409F-89F8-7AB33DE6F2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3820288"/>
        <c:axId val="103846656"/>
      </c:barChart>
      <c:catAx>
        <c:axId val="103820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03846656"/>
        <c:crosses val="autoZero"/>
        <c:auto val="1"/>
        <c:lblAlgn val="ctr"/>
        <c:lblOffset val="100"/>
        <c:noMultiLvlLbl val="0"/>
      </c:catAx>
      <c:valAx>
        <c:axId val="1038466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lv-LV" sz="900" b="0">
                    <a:latin typeface="Times New Roman" pitchFamily="18" charset="0"/>
                    <a:cs typeface="Times New Roman" pitchFamily="18" charset="0"/>
                  </a:rPr>
                  <a:t>Ārstēto pacientu skaits</a:t>
                </a:r>
              </a:p>
            </c:rich>
          </c:tx>
          <c:layout>
            <c:manualLayout>
              <c:xMode val="edge"/>
              <c:yMode val="edge"/>
              <c:x val="1.0350011303516283E-2"/>
              <c:y val="0.1515188434960129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038202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462497535259535"/>
          <c:y val="0.30020692314776515"/>
          <c:w val="7.2947350206157488E-2"/>
          <c:h val="0.34476159230096237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plotArea>
      <c:layout>
        <c:manualLayout>
          <c:layoutTarget val="inner"/>
          <c:xMode val="edge"/>
          <c:yMode val="edge"/>
          <c:x val="9.227562088911255E-2"/>
          <c:y val="3.8930045188948798E-2"/>
          <c:w val="0.72701794190269575"/>
          <c:h val="0.86255044206841613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'Stac (2)'!$A$30</c:f>
              <c:strCache>
                <c:ptCount val="1"/>
                <c:pt idx="0">
                  <c:v>Minimālais plānotais pacientu skaits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'Stac (2)'!$B$28:$G$28</c:f>
              <c:strCache>
                <c:ptCount val="6"/>
                <c:pt idx="0">
                  <c:v>2015.</c:v>
                </c:pt>
                <c:pt idx="1">
                  <c:v>2016.</c:v>
                </c:pt>
                <c:pt idx="2">
                  <c:v>2017.</c:v>
                </c:pt>
                <c:pt idx="3">
                  <c:v>2018.</c:v>
                </c:pt>
                <c:pt idx="4">
                  <c:v>2019.</c:v>
                </c:pt>
                <c:pt idx="5">
                  <c:v>2020.</c:v>
                </c:pt>
              </c:strCache>
            </c:strRef>
          </c:cat>
          <c:val>
            <c:numRef>
              <c:f>'Stac (2)'!$B$30:$G$30</c:f>
              <c:numCache>
                <c:formatCode>General</c:formatCode>
                <c:ptCount val="6"/>
                <c:pt idx="0">
                  <c:v>9723</c:v>
                </c:pt>
                <c:pt idx="1">
                  <c:v>9723</c:v>
                </c:pt>
                <c:pt idx="2">
                  <c:v>9689</c:v>
                </c:pt>
                <c:pt idx="3">
                  <c:v>8718</c:v>
                </c:pt>
                <c:pt idx="4">
                  <c:v>8512</c:v>
                </c:pt>
                <c:pt idx="5">
                  <c:v>8119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8D-460D-A74D-F59403843C4E}"/>
            </c:ext>
          </c:extLst>
        </c:ser>
        <c:ser>
          <c:idx val="0"/>
          <c:order val="1"/>
          <c:tx>
            <c:strRef>
              <c:f>'Stac (2)'!$A$29</c:f>
              <c:strCache>
                <c:ptCount val="1"/>
                <c:pt idx="0">
                  <c:v>Ārstēto pacientu skaits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9408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868D-460D-A74D-F59403843C4E}"/>
                </c:ext>
              </c:extLst>
            </c:dLbl>
            <c:spPr>
              <a:noFill/>
              <a:effectLst>
                <a:outerShdw blurRad="50800" dist="50800" dir="5400000" algn="ctr" rotWithShape="0">
                  <a:srgbClr val="F79646">
                    <a:alpha val="22000"/>
                  </a:srgbClr>
                </a:outerShdw>
              </a:effectLst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'Stac (2)'!$B$28:$G$28</c:f>
              <c:strCache>
                <c:ptCount val="6"/>
                <c:pt idx="0">
                  <c:v>2015.</c:v>
                </c:pt>
                <c:pt idx="1">
                  <c:v>2016.</c:v>
                </c:pt>
                <c:pt idx="2">
                  <c:v>2017.</c:v>
                </c:pt>
                <c:pt idx="3">
                  <c:v>2018.</c:v>
                </c:pt>
                <c:pt idx="4">
                  <c:v>2019.</c:v>
                </c:pt>
                <c:pt idx="5">
                  <c:v>2020.</c:v>
                </c:pt>
              </c:strCache>
            </c:strRef>
          </c:cat>
          <c:val>
            <c:numRef>
              <c:f>'Stac (2)'!$B$29:$G$29</c:f>
              <c:numCache>
                <c:formatCode>General</c:formatCode>
                <c:ptCount val="6"/>
                <c:pt idx="0">
                  <c:v>10412</c:v>
                </c:pt>
                <c:pt idx="1">
                  <c:v>10290</c:v>
                </c:pt>
                <c:pt idx="2">
                  <c:v>9619</c:v>
                </c:pt>
                <c:pt idx="3">
                  <c:v>9392</c:v>
                </c:pt>
                <c:pt idx="4">
                  <c:v>9410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68D-460D-A74D-F59403843C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214016"/>
        <c:axId val="72409088"/>
      </c:barChart>
      <c:catAx>
        <c:axId val="722140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72409088"/>
        <c:crosses val="autoZero"/>
        <c:auto val="1"/>
        <c:lblAlgn val="ctr"/>
        <c:lblOffset val="100"/>
        <c:noMultiLvlLbl val="0"/>
      </c:catAx>
      <c:valAx>
        <c:axId val="72409088"/>
        <c:scaling>
          <c:orientation val="minMax"/>
          <c:max val="11000"/>
          <c:min val="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lv-LV" sz="900" b="0">
                    <a:latin typeface="Times New Roman" pitchFamily="18" charset="0"/>
                    <a:cs typeface="Times New Roman" pitchFamily="18" charset="0"/>
                  </a:rPr>
                  <a:t>Pacientu skaits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2214016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86467361173201385"/>
          <c:y val="0.44475545671373717"/>
          <c:w val="0.12290746385071978"/>
          <c:h val="0.35544934608654011"/>
        </c:manualLayout>
      </c:layout>
      <c:overlay val="0"/>
      <c:spPr>
        <a:effectLst>
          <a:outerShdw blurRad="50800" dist="50800" dir="5400000" algn="ctr" rotWithShape="0">
            <a:schemeClr val="bg1"/>
          </a:outerShdw>
        </a:effectLst>
      </c:spPr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887269986969361"/>
          <c:y val="4.0672453226621122E-2"/>
          <c:w val="0.71408799839938963"/>
          <c:h val="0.867554486612750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'Stac (3)'!$A$4</c:f>
              <c:strCache>
                <c:ptCount val="1"/>
                <c:pt idx="0">
                  <c:v>Vidējais ārstēšanās ilgums (dienas) SIA "Jēkabpils reģionālā slimnīca"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Lit>
              <c:formatCode>General</c:formatCode>
              <c:ptCount val="5"/>
              <c:pt idx="0">
                <c:v>2015</c:v>
              </c:pt>
              <c:pt idx="1">
                <c:v>2016</c:v>
              </c:pt>
              <c:pt idx="2">
                <c:v>2017</c:v>
              </c:pt>
              <c:pt idx="3">
                <c:v>2018</c:v>
              </c:pt>
              <c:pt idx="4">
                <c:v>2019</c:v>
              </c:pt>
            </c:numLit>
          </c:cat>
          <c:val>
            <c:numRef>
              <c:f>'Stac (3)'!$B$4:$F$4</c:f>
              <c:numCache>
                <c:formatCode>0.0</c:formatCode>
                <c:ptCount val="5"/>
                <c:pt idx="0">
                  <c:v>5.7</c:v>
                </c:pt>
                <c:pt idx="1">
                  <c:v>6.2</c:v>
                </c:pt>
                <c:pt idx="2">
                  <c:v>6.5</c:v>
                </c:pt>
                <c:pt idx="3">
                  <c:v>6.7</c:v>
                </c:pt>
                <c:pt idx="4">
                  <c:v>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8D-4017-A184-27A454090BEF}"/>
            </c:ext>
          </c:extLst>
        </c:ser>
        <c:ser>
          <c:idx val="1"/>
          <c:order val="1"/>
          <c:tx>
            <c:strRef>
              <c:f>'Stac (3)'!$A$5</c:f>
              <c:strCache>
                <c:ptCount val="1"/>
                <c:pt idx="0">
                  <c:v>Pašvaldību slimnīcās Latvijā (31 stacionārs) *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Lit>
              <c:formatCode>General</c:formatCode>
              <c:ptCount val="5"/>
              <c:pt idx="0">
                <c:v>2015</c:v>
              </c:pt>
              <c:pt idx="1">
                <c:v>2016</c:v>
              </c:pt>
              <c:pt idx="2">
                <c:v>2017</c:v>
              </c:pt>
              <c:pt idx="3">
                <c:v>2018</c:v>
              </c:pt>
              <c:pt idx="4">
                <c:v>2019</c:v>
              </c:pt>
            </c:numLit>
          </c:cat>
          <c:val>
            <c:numRef>
              <c:f>'Stac (3)'!$B$5:$F$5</c:f>
              <c:numCache>
                <c:formatCode>0.0</c:formatCode>
                <c:ptCount val="5"/>
                <c:pt idx="0">
                  <c:v>6</c:v>
                </c:pt>
                <c:pt idx="1">
                  <c:v>6</c:v>
                </c:pt>
                <c:pt idx="2">
                  <c:v>6.1</c:v>
                </c:pt>
                <c:pt idx="3">
                  <c:v>6.2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8D-4017-A184-27A454090BEF}"/>
            </c:ext>
          </c:extLst>
        </c:ser>
        <c:ser>
          <c:idx val="2"/>
          <c:order val="2"/>
          <c:tx>
            <c:strRef>
              <c:f>'Stac (3)'!$A$6</c:f>
              <c:strCache>
                <c:ptCount val="1"/>
                <c:pt idx="0">
                  <c:v>Visās slimnīcās Latvijā (62 stacionāri) **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Lit>
              <c:formatCode>General</c:formatCode>
              <c:ptCount val="5"/>
              <c:pt idx="0">
                <c:v>2015</c:v>
              </c:pt>
              <c:pt idx="1">
                <c:v>2016</c:v>
              </c:pt>
              <c:pt idx="2">
                <c:v>2017</c:v>
              </c:pt>
              <c:pt idx="3">
                <c:v>2018</c:v>
              </c:pt>
              <c:pt idx="4">
                <c:v>2019</c:v>
              </c:pt>
            </c:numLit>
          </c:cat>
          <c:val>
            <c:numRef>
              <c:f>'Stac (3)'!$B$6:$F$6</c:f>
              <c:numCache>
                <c:formatCode>0.0</c:formatCode>
                <c:ptCount val="5"/>
                <c:pt idx="0">
                  <c:v>8.3000000000000007</c:v>
                </c:pt>
                <c:pt idx="1">
                  <c:v>8.3000000000000007</c:v>
                </c:pt>
                <c:pt idx="2">
                  <c:v>8.4</c:v>
                </c:pt>
                <c:pt idx="3">
                  <c:v>8.3000000000000007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78D-4017-A184-27A454090B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178688"/>
        <c:axId val="72192768"/>
      </c:barChart>
      <c:catAx>
        <c:axId val="72178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72192768"/>
        <c:crosses val="autoZero"/>
        <c:auto val="1"/>
        <c:lblAlgn val="ctr"/>
        <c:lblOffset val="100"/>
        <c:noMultiLvlLbl val="0"/>
      </c:catAx>
      <c:valAx>
        <c:axId val="721927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9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900" b="0">
                    <a:latin typeface="Times New Roman" pitchFamily="18" charset="0"/>
                    <a:cs typeface="Times New Roman" pitchFamily="18" charset="0"/>
                  </a:rPr>
                  <a:t>Vidējais gultdienu skaits uz pacientu</a:t>
                </a:r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72178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670495057898519"/>
          <c:y val="6.6828332870446483E-2"/>
          <c:w val="0.1651111357764212"/>
          <c:h val="0.8088438420989541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751DC-26B0-4B06-9A28-07D1F9C1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12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Dators</dc:creator>
  <cp:lastModifiedBy>Jēkabpils Reģionālā Slimnīca</cp:lastModifiedBy>
  <cp:revision>9</cp:revision>
  <cp:lastPrinted>2020-06-10T10:31:00Z</cp:lastPrinted>
  <dcterms:created xsi:type="dcterms:W3CDTF">2020-06-09T13:23:00Z</dcterms:created>
  <dcterms:modified xsi:type="dcterms:W3CDTF">2020-06-29T07:12:00Z</dcterms:modified>
</cp:coreProperties>
</file>