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9E01" w14:textId="77777777" w:rsidR="000B758F" w:rsidRPr="00A16BF3" w:rsidRDefault="000B758F" w:rsidP="000E2D46">
      <w:pPr>
        <w:spacing w:after="0" w:line="360" w:lineRule="auto"/>
        <w:jc w:val="center"/>
        <w:rPr>
          <w:rFonts w:ascii="Times New Roman" w:hAnsi="Times New Roman" w:cs="Times New Roman"/>
          <w:sz w:val="28"/>
          <w:szCs w:val="28"/>
        </w:rPr>
      </w:pPr>
      <w:bookmarkStart w:id="0" w:name="_Hlk66868428"/>
      <w:bookmarkEnd w:id="0"/>
      <w:r w:rsidRPr="00A16BF3">
        <w:rPr>
          <w:rFonts w:ascii="Times New Roman" w:hAnsi="Times New Roman" w:cs="Times New Roman"/>
          <w:sz w:val="28"/>
          <w:szCs w:val="28"/>
        </w:rPr>
        <w:t>Sabiedrība ar ierobežotu atbildību</w:t>
      </w:r>
    </w:p>
    <w:p w14:paraId="521F70B1" w14:textId="77777777" w:rsidR="000B758F" w:rsidRPr="00A16BF3" w:rsidRDefault="000B758F" w:rsidP="000E2D46">
      <w:pPr>
        <w:spacing w:after="0" w:line="360" w:lineRule="auto"/>
        <w:jc w:val="center"/>
        <w:rPr>
          <w:rFonts w:ascii="Times New Roman" w:hAnsi="Times New Roman" w:cs="Times New Roman"/>
          <w:sz w:val="28"/>
          <w:szCs w:val="28"/>
        </w:rPr>
      </w:pPr>
      <w:r w:rsidRPr="00A16BF3">
        <w:rPr>
          <w:rFonts w:ascii="Times New Roman" w:hAnsi="Times New Roman" w:cs="Times New Roman"/>
          <w:sz w:val="28"/>
          <w:szCs w:val="28"/>
        </w:rPr>
        <w:t>“Jēkabpils reģionālā slimnīca”</w:t>
      </w:r>
    </w:p>
    <w:p w14:paraId="1B331876" w14:textId="77777777" w:rsidR="000B758F" w:rsidRPr="00A16BF3" w:rsidRDefault="000B758F" w:rsidP="000E2D46">
      <w:pPr>
        <w:spacing w:after="0" w:line="360" w:lineRule="auto"/>
        <w:jc w:val="center"/>
        <w:rPr>
          <w:rFonts w:ascii="Times New Roman" w:hAnsi="Times New Roman" w:cs="Times New Roman"/>
          <w:b/>
          <w:sz w:val="36"/>
          <w:szCs w:val="36"/>
        </w:rPr>
      </w:pPr>
    </w:p>
    <w:p w14:paraId="123E1866" w14:textId="77777777" w:rsidR="000B758F" w:rsidRPr="00A16BF3" w:rsidRDefault="000B758F" w:rsidP="000E2D46">
      <w:pPr>
        <w:spacing w:after="0" w:line="360" w:lineRule="auto"/>
        <w:jc w:val="center"/>
        <w:rPr>
          <w:rFonts w:ascii="Times New Roman" w:hAnsi="Times New Roman" w:cs="Times New Roman"/>
          <w:b/>
          <w:sz w:val="36"/>
          <w:szCs w:val="36"/>
        </w:rPr>
      </w:pPr>
    </w:p>
    <w:p w14:paraId="733AB700" w14:textId="77777777" w:rsidR="000B758F" w:rsidRPr="00A16BF3" w:rsidRDefault="000B758F" w:rsidP="000E2D46">
      <w:pPr>
        <w:spacing w:after="0" w:line="360" w:lineRule="auto"/>
        <w:jc w:val="center"/>
        <w:rPr>
          <w:rFonts w:ascii="Times New Roman" w:hAnsi="Times New Roman" w:cs="Times New Roman"/>
          <w:b/>
          <w:sz w:val="36"/>
          <w:szCs w:val="36"/>
        </w:rPr>
      </w:pPr>
    </w:p>
    <w:p w14:paraId="2E8B72D0" w14:textId="77777777" w:rsidR="000B758F" w:rsidRPr="00A16BF3" w:rsidRDefault="000B758F" w:rsidP="000E2D46">
      <w:pPr>
        <w:spacing w:after="0" w:line="360" w:lineRule="auto"/>
        <w:jc w:val="center"/>
        <w:rPr>
          <w:rFonts w:ascii="Times New Roman" w:hAnsi="Times New Roman" w:cs="Times New Roman"/>
          <w:b/>
          <w:sz w:val="36"/>
          <w:szCs w:val="36"/>
        </w:rPr>
      </w:pPr>
    </w:p>
    <w:p w14:paraId="36C05A1F" w14:textId="77777777" w:rsidR="000B758F" w:rsidRPr="00A16BF3" w:rsidRDefault="000B758F" w:rsidP="000E2D46">
      <w:pPr>
        <w:spacing w:after="0" w:line="360" w:lineRule="auto"/>
        <w:jc w:val="center"/>
        <w:rPr>
          <w:rFonts w:ascii="Times New Roman" w:hAnsi="Times New Roman" w:cs="Times New Roman"/>
          <w:b/>
          <w:sz w:val="36"/>
          <w:szCs w:val="36"/>
        </w:rPr>
      </w:pPr>
      <w:r w:rsidRPr="00A16BF3">
        <w:rPr>
          <w:rFonts w:ascii="Times New Roman" w:hAnsi="Times New Roman" w:cs="Times New Roman"/>
          <w:b/>
          <w:sz w:val="36"/>
          <w:szCs w:val="36"/>
        </w:rPr>
        <w:t xml:space="preserve">Kapitālsabiedrības </w:t>
      </w:r>
    </w:p>
    <w:p w14:paraId="0C4E38D2" w14:textId="3C33E707" w:rsidR="000B758F" w:rsidRPr="00A16BF3" w:rsidRDefault="000B758F" w:rsidP="000E2D46">
      <w:pPr>
        <w:spacing w:after="0" w:line="360" w:lineRule="auto"/>
        <w:jc w:val="center"/>
        <w:rPr>
          <w:rFonts w:ascii="Times New Roman" w:hAnsi="Times New Roman" w:cs="Times New Roman"/>
          <w:b/>
          <w:sz w:val="36"/>
          <w:szCs w:val="36"/>
        </w:rPr>
      </w:pPr>
      <w:r w:rsidRPr="00A16BF3">
        <w:rPr>
          <w:rFonts w:ascii="Times New Roman" w:hAnsi="Times New Roman" w:cs="Times New Roman"/>
          <w:b/>
          <w:sz w:val="36"/>
          <w:szCs w:val="36"/>
        </w:rPr>
        <w:t>vidēja termiņa darbības stratēģijas</w:t>
      </w:r>
    </w:p>
    <w:p w14:paraId="444B8FCF" w14:textId="77777777" w:rsidR="000B758F" w:rsidRPr="00A16BF3" w:rsidRDefault="000B758F" w:rsidP="000E2D46">
      <w:pPr>
        <w:spacing w:after="0" w:line="360" w:lineRule="auto"/>
        <w:jc w:val="center"/>
        <w:rPr>
          <w:rFonts w:ascii="Times New Roman" w:hAnsi="Times New Roman" w:cs="Times New Roman"/>
          <w:b/>
          <w:sz w:val="36"/>
          <w:szCs w:val="36"/>
        </w:rPr>
      </w:pPr>
      <w:r w:rsidRPr="00A16BF3">
        <w:rPr>
          <w:rFonts w:ascii="Times New Roman" w:hAnsi="Times New Roman" w:cs="Times New Roman"/>
          <w:b/>
          <w:sz w:val="36"/>
          <w:szCs w:val="36"/>
        </w:rPr>
        <w:t xml:space="preserve">2020.-2024.gadam </w:t>
      </w:r>
    </w:p>
    <w:p w14:paraId="2FE696CC" w14:textId="0D89B717" w:rsidR="000B758F" w:rsidRPr="00A16BF3" w:rsidRDefault="000B758F" w:rsidP="000E2D46">
      <w:pPr>
        <w:spacing w:after="0" w:line="360" w:lineRule="auto"/>
        <w:jc w:val="center"/>
        <w:rPr>
          <w:rFonts w:ascii="Times New Roman" w:hAnsi="Times New Roman" w:cs="Times New Roman"/>
          <w:bCs/>
          <w:sz w:val="36"/>
          <w:szCs w:val="36"/>
        </w:rPr>
      </w:pPr>
      <w:r w:rsidRPr="00A16BF3">
        <w:rPr>
          <w:rFonts w:ascii="Times New Roman" w:hAnsi="Times New Roman" w:cs="Times New Roman"/>
          <w:bCs/>
          <w:sz w:val="36"/>
          <w:szCs w:val="36"/>
        </w:rPr>
        <w:t>mērķu izpildes pārskats</w:t>
      </w:r>
    </w:p>
    <w:p w14:paraId="774196CA" w14:textId="2A42AE62" w:rsidR="000B758F" w:rsidRPr="00A16BF3" w:rsidRDefault="000B758F" w:rsidP="000E2D46">
      <w:pPr>
        <w:spacing w:after="0" w:line="360" w:lineRule="auto"/>
        <w:jc w:val="center"/>
        <w:rPr>
          <w:rFonts w:ascii="Times New Roman" w:hAnsi="Times New Roman" w:cs="Times New Roman"/>
          <w:bCs/>
          <w:sz w:val="36"/>
          <w:szCs w:val="36"/>
        </w:rPr>
      </w:pPr>
    </w:p>
    <w:p w14:paraId="5B28A7C3" w14:textId="41B8CC97" w:rsidR="000B758F" w:rsidRPr="00A16BF3" w:rsidRDefault="000B758F" w:rsidP="000E2D46">
      <w:pPr>
        <w:spacing w:after="0" w:line="360" w:lineRule="auto"/>
        <w:jc w:val="center"/>
        <w:rPr>
          <w:rFonts w:ascii="Times New Roman" w:hAnsi="Times New Roman" w:cs="Times New Roman"/>
          <w:bCs/>
          <w:sz w:val="36"/>
          <w:szCs w:val="36"/>
        </w:rPr>
      </w:pPr>
    </w:p>
    <w:p w14:paraId="698D9425" w14:textId="777940BB" w:rsidR="000B758F" w:rsidRPr="00A16BF3" w:rsidRDefault="000B758F" w:rsidP="000E2D46">
      <w:pPr>
        <w:spacing w:after="0" w:line="360" w:lineRule="auto"/>
        <w:jc w:val="center"/>
        <w:rPr>
          <w:rFonts w:ascii="Times New Roman" w:hAnsi="Times New Roman" w:cs="Times New Roman"/>
          <w:bCs/>
          <w:sz w:val="36"/>
          <w:szCs w:val="36"/>
        </w:rPr>
      </w:pPr>
    </w:p>
    <w:p w14:paraId="01B5385A" w14:textId="203F9643" w:rsidR="000B758F" w:rsidRPr="00A16BF3" w:rsidRDefault="000B758F" w:rsidP="000E2D46">
      <w:pPr>
        <w:spacing w:after="0" w:line="360" w:lineRule="auto"/>
        <w:jc w:val="center"/>
        <w:rPr>
          <w:rFonts w:ascii="Times New Roman" w:hAnsi="Times New Roman" w:cs="Times New Roman"/>
          <w:bCs/>
          <w:sz w:val="36"/>
          <w:szCs w:val="36"/>
        </w:rPr>
      </w:pPr>
    </w:p>
    <w:p w14:paraId="42743958" w14:textId="7FC8CDDD" w:rsidR="000B758F" w:rsidRPr="00A16BF3" w:rsidRDefault="000B758F" w:rsidP="000E2D46">
      <w:pPr>
        <w:spacing w:after="0" w:line="360" w:lineRule="auto"/>
        <w:jc w:val="center"/>
        <w:rPr>
          <w:rFonts w:ascii="Times New Roman" w:hAnsi="Times New Roman" w:cs="Times New Roman"/>
          <w:bCs/>
          <w:sz w:val="36"/>
          <w:szCs w:val="36"/>
        </w:rPr>
      </w:pPr>
    </w:p>
    <w:p w14:paraId="558EA2E0" w14:textId="5C0B547F" w:rsidR="000B758F" w:rsidRPr="00A16BF3" w:rsidRDefault="000B758F" w:rsidP="000E2D46">
      <w:pPr>
        <w:spacing w:after="0" w:line="360" w:lineRule="auto"/>
        <w:jc w:val="center"/>
        <w:rPr>
          <w:rFonts w:ascii="Times New Roman" w:hAnsi="Times New Roman" w:cs="Times New Roman"/>
          <w:bCs/>
          <w:sz w:val="36"/>
          <w:szCs w:val="36"/>
        </w:rPr>
      </w:pPr>
    </w:p>
    <w:p w14:paraId="39B58645" w14:textId="03ECE1C2" w:rsidR="000B758F" w:rsidRPr="00A16BF3" w:rsidRDefault="000B758F" w:rsidP="000E2D46">
      <w:pPr>
        <w:spacing w:after="0" w:line="360" w:lineRule="auto"/>
        <w:jc w:val="center"/>
        <w:rPr>
          <w:rFonts w:ascii="Times New Roman" w:hAnsi="Times New Roman" w:cs="Times New Roman"/>
          <w:bCs/>
          <w:sz w:val="36"/>
          <w:szCs w:val="36"/>
        </w:rPr>
      </w:pPr>
    </w:p>
    <w:p w14:paraId="319D770A" w14:textId="00EC90E1" w:rsidR="000B758F" w:rsidRPr="00A16BF3" w:rsidRDefault="000B758F" w:rsidP="000E2D46">
      <w:pPr>
        <w:spacing w:after="0" w:line="360" w:lineRule="auto"/>
        <w:jc w:val="center"/>
        <w:rPr>
          <w:rFonts w:ascii="Times New Roman" w:hAnsi="Times New Roman" w:cs="Times New Roman"/>
          <w:bCs/>
          <w:sz w:val="36"/>
          <w:szCs w:val="36"/>
        </w:rPr>
      </w:pPr>
    </w:p>
    <w:p w14:paraId="0E7EBDD7" w14:textId="2F459A21" w:rsidR="000B758F" w:rsidRPr="00A16BF3" w:rsidRDefault="000B758F" w:rsidP="000E2D46">
      <w:pPr>
        <w:spacing w:after="0" w:line="360" w:lineRule="auto"/>
        <w:jc w:val="center"/>
        <w:rPr>
          <w:rFonts w:ascii="Times New Roman" w:hAnsi="Times New Roman" w:cs="Times New Roman"/>
          <w:bCs/>
          <w:sz w:val="36"/>
          <w:szCs w:val="36"/>
        </w:rPr>
      </w:pPr>
    </w:p>
    <w:p w14:paraId="1C36ABBC" w14:textId="78670EEB" w:rsidR="000B758F" w:rsidRPr="00A16BF3" w:rsidRDefault="000B758F" w:rsidP="000E2D46">
      <w:pPr>
        <w:spacing w:after="0" w:line="360" w:lineRule="auto"/>
        <w:jc w:val="center"/>
        <w:rPr>
          <w:rFonts w:ascii="Times New Roman" w:hAnsi="Times New Roman" w:cs="Times New Roman"/>
          <w:bCs/>
          <w:sz w:val="36"/>
          <w:szCs w:val="36"/>
        </w:rPr>
      </w:pPr>
    </w:p>
    <w:p w14:paraId="24B437BC" w14:textId="30CAE7D0" w:rsidR="000B758F" w:rsidRPr="00A16BF3" w:rsidRDefault="000B758F" w:rsidP="000E2D46">
      <w:pPr>
        <w:spacing w:after="0" w:line="360" w:lineRule="auto"/>
        <w:jc w:val="center"/>
        <w:rPr>
          <w:rFonts w:ascii="Times New Roman" w:hAnsi="Times New Roman" w:cs="Times New Roman"/>
          <w:bCs/>
          <w:sz w:val="36"/>
          <w:szCs w:val="36"/>
        </w:rPr>
      </w:pPr>
    </w:p>
    <w:p w14:paraId="732BD919" w14:textId="7434794F" w:rsidR="000B758F" w:rsidRPr="00A16BF3" w:rsidRDefault="000B758F" w:rsidP="000E2D46">
      <w:pPr>
        <w:spacing w:after="0" w:line="360" w:lineRule="auto"/>
        <w:jc w:val="center"/>
        <w:rPr>
          <w:rFonts w:ascii="Times New Roman" w:hAnsi="Times New Roman" w:cs="Times New Roman"/>
          <w:bCs/>
          <w:sz w:val="36"/>
          <w:szCs w:val="36"/>
        </w:rPr>
      </w:pPr>
    </w:p>
    <w:p w14:paraId="1C1EB4D3" w14:textId="610BD67F" w:rsidR="000B758F" w:rsidRPr="00A16BF3" w:rsidRDefault="000B758F" w:rsidP="000E2D46">
      <w:pPr>
        <w:spacing w:after="0" w:line="360" w:lineRule="auto"/>
        <w:jc w:val="center"/>
        <w:rPr>
          <w:rFonts w:ascii="Times New Roman" w:hAnsi="Times New Roman" w:cs="Times New Roman"/>
          <w:bCs/>
          <w:sz w:val="36"/>
          <w:szCs w:val="36"/>
        </w:rPr>
      </w:pPr>
    </w:p>
    <w:p w14:paraId="56FF22A9" w14:textId="77777777" w:rsidR="00756DB4" w:rsidRDefault="00E735D4" w:rsidP="00756DB4">
      <w:pPr>
        <w:pStyle w:val="TOCHeading"/>
        <w:rPr>
          <w:rFonts w:ascii="Times New Roman" w:hAnsi="Times New Roman" w:cs="Times New Roman"/>
          <w:b/>
          <w:sz w:val="28"/>
          <w:szCs w:val="28"/>
        </w:rPr>
      </w:pPr>
      <w:r>
        <w:rPr>
          <w:rFonts w:ascii="Times New Roman" w:hAnsi="Times New Roman" w:cs="Times New Roman"/>
          <w:b/>
          <w:sz w:val="28"/>
          <w:szCs w:val="28"/>
        </w:rPr>
        <w:br w:type="page"/>
      </w:r>
    </w:p>
    <w:sdt>
      <w:sdtPr>
        <w:id w:val="-1578896807"/>
        <w:docPartObj>
          <w:docPartGallery w:val="Table of Contents"/>
          <w:docPartUnique/>
        </w:docPartObj>
      </w:sdtPr>
      <w:sdtEndPr>
        <w:rPr>
          <w:rFonts w:asciiTheme="minorHAnsi" w:eastAsiaTheme="minorHAnsi" w:hAnsiTheme="minorHAnsi" w:cstheme="minorBidi"/>
          <w:b/>
          <w:bCs/>
          <w:noProof/>
          <w:color w:val="auto"/>
          <w:sz w:val="22"/>
          <w:szCs w:val="22"/>
          <w:lang w:val="lv-LV"/>
        </w:rPr>
      </w:sdtEndPr>
      <w:sdtContent>
        <w:p w14:paraId="59E6E727" w14:textId="3CF325D5" w:rsidR="00E735D4" w:rsidRPr="00756DB4" w:rsidRDefault="000856C8" w:rsidP="00756DB4">
          <w:pPr>
            <w:pStyle w:val="TOCHeading"/>
            <w:jc w:val="center"/>
            <w:rPr>
              <w:rFonts w:ascii="Times New Roman" w:hAnsi="Times New Roman" w:cs="Times New Roman"/>
              <w:b/>
              <w:sz w:val="28"/>
              <w:szCs w:val="28"/>
            </w:rPr>
          </w:pPr>
          <w:r w:rsidRPr="000856C8">
            <w:rPr>
              <w:rFonts w:ascii="Times New Roman" w:hAnsi="Times New Roman" w:cs="Times New Roman"/>
              <w:b/>
              <w:bCs/>
              <w:sz w:val="28"/>
              <w:szCs w:val="28"/>
            </w:rPr>
            <w:t>SATURS</w:t>
          </w:r>
        </w:p>
        <w:p w14:paraId="31CFF821" w14:textId="028CDD75" w:rsidR="00756DB4" w:rsidRPr="00756DB4" w:rsidRDefault="00E735D4">
          <w:pPr>
            <w:pStyle w:val="TOC1"/>
            <w:tabs>
              <w:tab w:val="right" w:leader="dot" w:pos="9344"/>
            </w:tabs>
            <w:rPr>
              <w:rFonts w:ascii="Times New Roman" w:eastAsiaTheme="minorEastAsia" w:hAnsi="Times New Roman" w:cs="Times New Roman"/>
              <w:noProof/>
              <w:lang w:eastAsia="lv-LV"/>
            </w:rPr>
          </w:pPr>
          <w:r w:rsidRPr="000856C8">
            <w:fldChar w:fldCharType="begin"/>
          </w:r>
          <w:r w:rsidRPr="000856C8">
            <w:instrText xml:space="preserve"> TOC \o "1-3" \h \z \u </w:instrText>
          </w:r>
          <w:r w:rsidRPr="000856C8">
            <w:fldChar w:fldCharType="separate"/>
          </w:r>
          <w:hyperlink w:anchor="_Toc67547259" w:history="1">
            <w:r w:rsidR="00756DB4" w:rsidRPr="00756DB4">
              <w:rPr>
                <w:rStyle w:val="Hyperlink"/>
                <w:rFonts w:ascii="Times New Roman" w:hAnsi="Times New Roman" w:cs="Times New Roman"/>
                <w:b/>
                <w:bCs/>
                <w:noProof/>
                <w:color w:val="auto"/>
              </w:rPr>
              <w:t>Ievads</w:t>
            </w:r>
            <w:r w:rsidR="00756DB4" w:rsidRPr="00756DB4">
              <w:rPr>
                <w:rFonts w:ascii="Times New Roman" w:hAnsi="Times New Roman" w:cs="Times New Roman"/>
                <w:noProof/>
                <w:webHidden/>
              </w:rPr>
              <w:tab/>
            </w:r>
            <w:r w:rsidR="00756DB4" w:rsidRPr="00756DB4">
              <w:rPr>
                <w:rFonts w:ascii="Times New Roman" w:hAnsi="Times New Roman" w:cs="Times New Roman"/>
                <w:noProof/>
                <w:webHidden/>
              </w:rPr>
              <w:fldChar w:fldCharType="begin"/>
            </w:r>
            <w:r w:rsidR="00756DB4" w:rsidRPr="00756DB4">
              <w:rPr>
                <w:rFonts w:ascii="Times New Roman" w:hAnsi="Times New Roman" w:cs="Times New Roman"/>
                <w:noProof/>
                <w:webHidden/>
              </w:rPr>
              <w:instrText xml:space="preserve"> PAGEREF _Toc67547259 \h </w:instrText>
            </w:r>
            <w:r w:rsidR="00756DB4" w:rsidRPr="00756DB4">
              <w:rPr>
                <w:rFonts w:ascii="Times New Roman" w:hAnsi="Times New Roman" w:cs="Times New Roman"/>
                <w:noProof/>
                <w:webHidden/>
              </w:rPr>
            </w:r>
            <w:r w:rsidR="00756DB4" w:rsidRPr="00756DB4">
              <w:rPr>
                <w:rFonts w:ascii="Times New Roman" w:hAnsi="Times New Roman" w:cs="Times New Roman"/>
                <w:noProof/>
                <w:webHidden/>
              </w:rPr>
              <w:fldChar w:fldCharType="separate"/>
            </w:r>
            <w:r w:rsidR="00756DB4" w:rsidRPr="00756DB4">
              <w:rPr>
                <w:rFonts w:ascii="Times New Roman" w:hAnsi="Times New Roman" w:cs="Times New Roman"/>
                <w:noProof/>
                <w:webHidden/>
              </w:rPr>
              <w:t>3</w:t>
            </w:r>
            <w:r w:rsidR="00756DB4" w:rsidRPr="00756DB4">
              <w:rPr>
                <w:rFonts w:ascii="Times New Roman" w:hAnsi="Times New Roman" w:cs="Times New Roman"/>
                <w:noProof/>
                <w:webHidden/>
              </w:rPr>
              <w:fldChar w:fldCharType="end"/>
            </w:r>
          </w:hyperlink>
        </w:p>
        <w:p w14:paraId="126ECF60" w14:textId="2D92E9B4" w:rsidR="00756DB4" w:rsidRPr="00756DB4" w:rsidRDefault="00756DB4">
          <w:pPr>
            <w:pStyle w:val="TOC1"/>
            <w:tabs>
              <w:tab w:val="left" w:pos="440"/>
              <w:tab w:val="right" w:leader="dot" w:pos="9344"/>
            </w:tabs>
            <w:rPr>
              <w:rFonts w:ascii="Times New Roman" w:eastAsiaTheme="minorEastAsia" w:hAnsi="Times New Roman" w:cs="Times New Roman"/>
              <w:noProof/>
              <w:lang w:eastAsia="lv-LV"/>
            </w:rPr>
          </w:pPr>
          <w:hyperlink w:anchor="_Toc67547260" w:history="1">
            <w:r w:rsidRPr="00756DB4">
              <w:rPr>
                <w:rStyle w:val="Hyperlink"/>
                <w:rFonts w:ascii="Times New Roman" w:hAnsi="Times New Roman" w:cs="Times New Roman"/>
                <w:b/>
                <w:bCs/>
                <w:noProof/>
                <w:color w:val="auto"/>
              </w:rPr>
              <w:t>1.</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Nefinanšu mērķi</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_Toc67547260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5</w:t>
            </w:r>
            <w:r w:rsidRPr="00756DB4">
              <w:rPr>
                <w:rFonts w:ascii="Times New Roman" w:hAnsi="Times New Roman" w:cs="Times New Roman"/>
                <w:noProof/>
                <w:webHidden/>
              </w:rPr>
              <w:fldChar w:fldCharType="end"/>
            </w:r>
          </w:hyperlink>
        </w:p>
        <w:p w14:paraId="401650FE" w14:textId="23929454" w:rsidR="00756DB4" w:rsidRPr="00756DB4" w:rsidRDefault="00756DB4">
          <w:pPr>
            <w:pStyle w:val="TOC2"/>
            <w:tabs>
              <w:tab w:val="left" w:pos="880"/>
              <w:tab w:val="right" w:leader="dot" w:pos="9344"/>
            </w:tabs>
            <w:rPr>
              <w:rFonts w:ascii="Times New Roman" w:eastAsiaTheme="minorEastAsia" w:hAnsi="Times New Roman" w:cs="Times New Roman"/>
              <w:noProof/>
              <w:lang w:eastAsia="lv-LV"/>
            </w:rPr>
          </w:pPr>
          <w:hyperlink w:anchor="_Toc67547261" w:history="1">
            <w:r w:rsidRPr="00756DB4">
              <w:rPr>
                <w:rStyle w:val="Hyperlink"/>
                <w:rFonts w:ascii="Times New Roman" w:hAnsi="Times New Roman" w:cs="Times New Roman"/>
                <w:b/>
                <w:bCs/>
                <w:noProof/>
                <w:color w:val="auto"/>
              </w:rPr>
              <w:t>1.1.</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Kapitālsabiedrības vadība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_Toc67547261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5</w:t>
            </w:r>
            <w:r w:rsidRPr="00756DB4">
              <w:rPr>
                <w:rFonts w:ascii="Times New Roman" w:hAnsi="Times New Roman" w:cs="Times New Roman"/>
                <w:noProof/>
                <w:webHidden/>
              </w:rPr>
              <w:fldChar w:fldCharType="end"/>
            </w:r>
          </w:hyperlink>
        </w:p>
        <w:p w14:paraId="332E062D" w14:textId="63FFD69C" w:rsidR="00756DB4" w:rsidRPr="00756DB4" w:rsidRDefault="00756DB4">
          <w:pPr>
            <w:pStyle w:val="TOC2"/>
            <w:tabs>
              <w:tab w:val="left" w:pos="880"/>
              <w:tab w:val="right" w:leader="dot" w:pos="9344"/>
            </w:tabs>
            <w:rPr>
              <w:rFonts w:ascii="Times New Roman" w:eastAsiaTheme="minorEastAsia" w:hAnsi="Times New Roman" w:cs="Times New Roman"/>
              <w:noProof/>
              <w:lang w:eastAsia="lv-LV"/>
            </w:rPr>
          </w:pPr>
          <w:hyperlink w:anchor="_Toc67547262" w:history="1">
            <w:r w:rsidRPr="00756DB4">
              <w:rPr>
                <w:rStyle w:val="Hyperlink"/>
                <w:rFonts w:ascii="Times New Roman" w:hAnsi="Times New Roman" w:cs="Times New Roman"/>
                <w:b/>
                <w:bCs/>
                <w:noProof/>
                <w:color w:val="auto"/>
              </w:rPr>
              <w:t>1.2.</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Personāla attīstības pasākumi</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_Toc67547262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5</w:t>
            </w:r>
            <w:r w:rsidRPr="00756DB4">
              <w:rPr>
                <w:rFonts w:ascii="Times New Roman" w:hAnsi="Times New Roman" w:cs="Times New Roman"/>
                <w:noProof/>
                <w:webHidden/>
              </w:rPr>
              <w:fldChar w:fldCharType="end"/>
            </w:r>
          </w:hyperlink>
        </w:p>
        <w:p w14:paraId="07AFC764" w14:textId="2BD7F39A" w:rsidR="00756DB4" w:rsidRPr="00756DB4" w:rsidRDefault="00756DB4">
          <w:pPr>
            <w:pStyle w:val="TOC2"/>
            <w:tabs>
              <w:tab w:val="left" w:pos="880"/>
              <w:tab w:val="right" w:leader="dot" w:pos="9344"/>
            </w:tabs>
            <w:rPr>
              <w:rFonts w:ascii="Times New Roman" w:eastAsiaTheme="minorEastAsia" w:hAnsi="Times New Roman" w:cs="Times New Roman"/>
              <w:noProof/>
              <w:lang w:eastAsia="lv-LV"/>
            </w:rPr>
          </w:pPr>
          <w:hyperlink w:anchor="_Toc67547263" w:history="1">
            <w:r w:rsidRPr="00756DB4">
              <w:rPr>
                <w:rStyle w:val="Hyperlink"/>
                <w:rFonts w:ascii="Times New Roman" w:hAnsi="Times New Roman" w:cs="Times New Roman"/>
                <w:b/>
                <w:bCs/>
                <w:noProof/>
                <w:color w:val="auto"/>
              </w:rPr>
              <w:t>1.3.</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Ārstniecības pakalpojumu attīstīšana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_Toc67547263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8</w:t>
            </w:r>
            <w:r w:rsidRPr="00756DB4">
              <w:rPr>
                <w:rFonts w:ascii="Times New Roman" w:hAnsi="Times New Roman" w:cs="Times New Roman"/>
                <w:noProof/>
                <w:webHidden/>
              </w:rPr>
              <w:fldChar w:fldCharType="end"/>
            </w:r>
          </w:hyperlink>
        </w:p>
        <w:p w14:paraId="7D80EF09" w14:textId="3EEE1537" w:rsidR="00756DB4" w:rsidRPr="00756DB4" w:rsidRDefault="00756DB4">
          <w:pPr>
            <w:pStyle w:val="TOC3"/>
            <w:tabs>
              <w:tab w:val="right" w:leader="dot" w:pos="9344"/>
            </w:tabs>
            <w:rPr>
              <w:rFonts w:ascii="Times New Roman" w:eastAsiaTheme="minorEastAsia" w:hAnsi="Times New Roman" w:cs="Times New Roman"/>
              <w:noProof/>
              <w:lang w:eastAsia="lv-LV"/>
            </w:rPr>
          </w:pPr>
          <w:hyperlink w:anchor="_Toc67547264" w:history="1">
            <w:r w:rsidRPr="00756DB4">
              <w:rPr>
                <w:rStyle w:val="Hyperlink"/>
                <w:rFonts w:ascii="Times New Roman" w:hAnsi="Times New Roman" w:cs="Times New Roman"/>
                <w:i/>
                <w:iCs/>
                <w:noProof/>
                <w:color w:val="auto"/>
              </w:rPr>
              <w:t>1.3.1. Jauni valsts apmaksātie pakalpojumi, artroskopisko operāciju attīstība un maksas pakalpojumu attīstība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_Toc67547264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8</w:t>
            </w:r>
            <w:r w:rsidRPr="00756DB4">
              <w:rPr>
                <w:rFonts w:ascii="Times New Roman" w:hAnsi="Times New Roman" w:cs="Times New Roman"/>
                <w:noProof/>
                <w:webHidden/>
              </w:rPr>
              <w:fldChar w:fldCharType="end"/>
            </w:r>
          </w:hyperlink>
        </w:p>
        <w:p w14:paraId="565F36D0" w14:textId="4CA12313" w:rsidR="00756DB4" w:rsidRPr="00756DB4" w:rsidRDefault="00756DB4">
          <w:pPr>
            <w:pStyle w:val="TOC3"/>
            <w:tabs>
              <w:tab w:val="right" w:leader="dot" w:pos="9344"/>
            </w:tabs>
            <w:rPr>
              <w:rFonts w:ascii="Times New Roman" w:eastAsiaTheme="minorEastAsia" w:hAnsi="Times New Roman" w:cs="Times New Roman"/>
              <w:noProof/>
              <w:lang w:eastAsia="lv-LV"/>
            </w:rPr>
          </w:pPr>
          <w:hyperlink w:anchor="_Toc67547265" w:history="1">
            <w:r w:rsidRPr="00756DB4">
              <w:rPr>
                <w:rStyle w:val="Hyperlink"/>
                <w:rFonts w:ascii="Times New Roman" w:hAnsi="Times New Roman" w:cs="Times New Roman"/>
                <w:i/>
                <w:iCs/>
                <w:noProof/>
                <w:color w:val="auto"/>
              </w:rPr>
              <w:t>1.3.2. Rehabilitācijas pakalpojuma pieejamības uzlabošana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_Toc67547265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9</w:t>
            </w:r>
            <w:r w:rsidRPr="00756DB4">
              <w:rPr>
                <w:rFonts w:ascii="Times New Roman" w:hAnsi="Times New Roman" w:cs="Times New Roman"/>
                <w:noProof/>
                <w:webHidden/>
              </w:rPr>
              <w:fldChar w:fldCharType="end"/>
            </w:r>
          </w:hyperlink>
        </w:p>
        <w:p w14:paraId="1DC69DDC" w14:textId="0FC029A7" w:rsidR="00756DB4" w:rsidRPr="00756DB4" w:rsidRDefault="00756DB4">
          <w:pPr>
            <w:pStyle w:val="TOC3"/>
            <w:tabs>
              <w:tab w:val="right" w:leader="dot" w:pos="9344"/>
            </w:tabs>
            <w:rPr>
              <w:rFonts w:ascii="Times New Roman" w:eastAsiaTheme="minorEastAsia" w:hAnsi="Times New Roman" w:cs="Times New Roman"/>
              <w:noProof/>
              <w:lang w:eastAsia="lv-LV"/>
            </w:rPr>
          </w:pPr>
          <w:hyperlink w:anchor="_Toc67547266" w:history="1">
            <w:r w:rsidRPr="00756DB4">
              <w:rPr>
                <w:rStyle w:val="Hyperlink"/>
                <w:rFonts w:ascii="Times New Roman" w:hAnsi="Times New Roman" w:cs="Times New Roman"/>
                <w:i/>
                <w:iCs/>
                <w:noProof/>
                <w:color w:val="auto"/>
              </w:rPr>
              <w:t>1.3.3. Infekciju uzraudzības attīstīšana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_Toc67547266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9</w:t>
            </w:r>
            <w:r w:rsidRPr="00756DB4">
              <w:rPr>
                <w:rFonts w:ascii="Times New Roman" w:hAnsi="Times New Roman" w:cs="Times New Roman"/>
                <w:noProof/>
                <w:webHidden/>
              </w:rPr>
              <w:fldChar w:fldCharType="end"/>
            </w:r>
          </w:hyperlink>
        </w:p>
        <w:p w14:paraId="67A2C1A8" w14:textId="276560F4" w:rsidR="00756DB4" w:rsidRPr="00756DB4" w:rsidRDefault="00756DB4">
          <w:pPr>
            <w:pStyle w:val="TOC3"/>
            <w:tabs>
              <w:tab w:val="right" w:leader="dot" w:pos="9344"/>
            </w:tabs>
            <w:rPr>
              <w:rFonts w:ascii="Times New Roman" w:eastAsiaTheme="minorEastAsia" w:hAnsi="Times New Roman" w:cs="Times New Roman"/>
              <w:noProof/>
              <w:lang w:eastAsia="lv-LV"/>
            </w:rPr>
          </w:pPr>
          <w:hyperlink w:anchor="_Toc67547267" w:history="1">
            <w:r w:rsidRPr="00756DB4">
              <w:rPr>
                <w:rStyle w:val="Hyperlink"/>
                <w:rFonts w:ascii="Times New Roman" w:hAnsi="Times New Roman" w:cs="Times New Roman"/>
                <w:i/>
                <w:iCs/>
                <w:noProof/>
                <w:color w:val="auto"/>
              </w:rPr>
              <w:t>1.3.4. Personāla vakcinācijas veicināšana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_Toc67547267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10</w:t>
            </w:r>
            <w:r w:rsidRPr="00756DB4">
              <w:rPr>
                <w:rFonts w:ascii="Times New Roman" w:hAnsi="Times New Roman" w:cs="Times New Roman"/>
                <w:noProof/>
                <w:webHidden/>
              </w:rPr>
              <w:fldChar w:fldCharType="end"/>
            </w:r>
          </w:hyperlink>
        </w:p>
        <w:p w14:paraId="69EC47D5" w14:textId="39F212C7" w:rsidR="00756DB4" w:rsidRPr="00756DB4" w:rsidRDefault="00756DB4">
          <w:pPr>
            <w:pStyle w:val="TOC3"/>
            <w:tabs>
              <w:tab w:val="right" w:leader="dot" w:pos="9344"/>
            </w:tabs>
            <w:rPr>
              <w:rFonts w:ascii="Times New Roman" w:eastAsiaTheme="minorEastAsia" w:hAnsi="Times New Roman" w:cs="Times New Roman"/>
              <w:noProof/>
              <w:lang w:eastAsia="lv-LV"/>
            </w:rPr>
          </w:pPr>
          <w:hyperlink w:anchor="_Toc67547268" w:history="1">
            <w:r w:rsidRPr="00756DB4">
              <w:rPr>
                <w:rStyle w:val="Hyperlink"/>
                <w:rFonts w:ascii="Times New Roman" w:hAnsi="Times New Roman" w:cs="Times New Roman"/>
                <w:i/>
                <w:iCs/>
                <w:noProof/>
                <w:color w:val="auto"/>
              </w:rPr>
              <w:t>1.3.5. Zinātniskās un pētniecības darbības attīstība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_Toc67547268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10</w:t>
            </w:r>
            <w:r w:rsidRPr="00756DB4">
              <w:rPr>
                <w:rFonts w:ascii="Times New Roman" w:hAnsi="Times New Roman" w:cs="Times New Roman"/>
                <w:noProof/>
                <w:webHidden/>
              </w:rPr>
              <w:fldChar w:fldCharType="end"/>
            </w:r>
          </w:hyperlink>
        </w:p>
        <w:p w14:paraId="288CB59C" w14:textId="76B37B4B" w:rsidR="00756DB4" w:rsidRPr="00756DB4" w:rsidRDefault="00756DB4">
          <w:pPr>
            <w:pStyle w:val="TOC2"/>
            <w:tabs>
              <w:tab w:val="left" w:pos="880"/>
              <w:tab w:val="right" w:leader="dot" w:pos="9344"/>
            </w:tabs>
            <w:rPr>
              <w:rFonts w:ascii="Times New Roman" w:eastAsiaTheme="minorEastAsia" w:hAnsi="Times New Roman" w:cs="Times New Roman"/>
              <w:noProof/>
              <w:lang w:eastAsia="lv-LV"/>
            </w:rPr>
          </w:pPr>
          <w:hyperlink w:anchor="_Toc67547269" w:history="1">
            <w:r w:rsidRPr="00756DB4">
              <w:rPr>
                <w:rStyle w:val="Hyperlink"/>
                <w:rFonts w:ascii="Times New Roman" w:hAnsi="Times New Roman" w:cs="Times New Roman"/>
                <w:b/>
                <w:bCs/>
                <w:noProof/>
                <w:color w:val="auto"/>
              </w:rPr>
              <w:t>1.4.</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Ārstniecības pakalpojumu kvalitātes attīstīšana: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_Toc67547269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10</w:t>
            </w:r>
            <w:r w:rsidRPr="00756DB4">
              <w:rPr>
                <w:rFonts w:ascii="Times New Roman" w:hAnsi="Times New Roman" w:cs="Times New Roman"/>
                <w:noProof/>
                <w:webHidden/>
              </w:rPr>
              <w:fldChar w:fldCharType="end"/>
            </w:r>
          </w:hyperlink>
        </w:p>
        <w:p w14:paraId="391FE57C" w14:textId="67CB4D16" w:rsidR="00756DB4" w:rsidRPr="00756DB4" w:rsidRDefault="00756DB4">
          <w:pPr>
            <w:pStyle w:val="TOC3"/>
            <w:tabs>
              <w:tab w:val="left" w:pos="1320"/>
              <w:tab w:val="right" w:leader="dot" w:pos="9344"/>
            </w:tabs>
            <w:rPr>
              <w:rFonts w:ascii="Times New Roman" w:eastAsiaTheme="minorEastAsia" w:hAnsi="Times New Roman" w:cs="Times New Roman"/>
              <w:noProof/>
              <w:lang w:eastAsia="lv-LV"/>
            </w:rPr>
          </w:pPr>
          <w:hyperlink w:anchor="_Toc67547270" w:history="1">
            <w:r w:rsidRPr="00756DB4">
              <w:rPr>
                <w:rStyle w:val="Hyperlink"/>
                <w:rFonts w:ascii="Times New Roman" w:hAnsi="Times New Roman" w:cs="Times New Roman"/>
                <w:i/>
                <w:iCs/>
                <w:noProof/>
                <w:color w:val="auto"/>
              </w:rPr>
              <w:t>1.4.1.</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i/>
                <w:iCs/>
                <w:noProof/>
                <w:color w:val="auto"/>
              </w:rPr>
              <w:t>Pakalpojumu pieejamība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_Toc67547270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11</w:t>
            </w:r>
            <w:r w:rsidRPr="00756DB4">
              <w:rPr>
                <w:rFonts w:ascii="Times New Roman" w:hAnsi="Times New Roman" w:cs="Times New Roman"/>
                <w:noProof/>
                <w:webHidden/>
              </w:rPr>
              <w:fldChar w:fldCharType="end"/>
            </w:r>
          </w:hyperlink>
        </w:p>
        <w:p w14:paraId="17B38849" w14:textId="44B8575D" w:rsidR="00756DB4" w:rsidRPr="00756DB4" w:rsidRDefault="00756DB4">
          <w:pPr>
            <w:pStyle w:val="TOC3"/>
            <w:tabs>
              <w:tab w:val="left" w:pos="1320"/>
              <w:tab w:val="right" w:leader="dot" w:pos="9344"/>
            </w:tabs>
            <w:rPr>
              <w:rFonts w:ascii="Times New Roman" w:eastAsiaTheme="minorEastAsia" w:hAnsi="Times New Roman" w:cs="Times New Roman"/>
              <w:noProof/>
              <w:lang w:eastAsia="lv-LV"/>
            </w:rPr>
          </w:pPr>
          <w:hyperlink w:anchor="_Toc67547271" w:history="1">
            <w:r w:rsidRPr="00756DB4">
              <w:rPr>
                <w:rStyle w:val="Hyperlink"/>
                <w:rFonts w:ascii="Times New Roman" w:eastAsia="Calibri" w:hAnsi="Times New Roman" w:cs="Times New Roman"/>
                <w:i/>
                <w:iCs/>
                <w:noProof/>
                <w:color w:val="auto"/>
                <w:lang w:eastAsia="zh-CN"/>
              </w:rPr>
              <w:t>1.4.2.</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i/>
                <w:iCs/>
                <w:noProof/>
                <w:color w:val="auto"/>
              </w:rPr>
              <w:t>Kvalitātes vadības pasākumi</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_Toc67547271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16</w:t>
            </w:r>
            <w:r w:rsidRPr="00756DB4">
              <w:rPr>
                <w:rFonts w:ascii="Times New Roman" w:hAnsi="Times New Roman" w:cs="Times New Roman"/>
                <w:noProof/>
                <w:webHidden/>
              </w:rPr>
              <w:fldChar w:fldCharType="end"/>
            </w:r>
          </w:hyperlink>
        </w:p>
        <w:p w14:paraId="5D8021DF" w14:textId="51D63BEA" w:rsidR="00756DB4" w:rsidRPr="00756DB4" w:rsidRDefault="00756DB4">
          <w:pPr>
            <w:pStyle w:val="TOC2"/>
            <w:tabs>
              <w:tab w:val="left" w:pos="880"/>
              <w:tab w:val="right" w:leader="dot" w:pos="9344"/>
            </w:tabs>
            <w:rPr>
              <w:rFonts w:ascii="Times New Roman" w:eastAsiaTheme="minorEastAsia" w:hAnsi="Times New Roman" w:cs="Times New Roman"/>
              <w:noProof/>
              <w:lang w:eastAsia="lv-LV"/>
            </w:rPr>
          </w:pPr>
          <w:hyperlink w:anchor="_Toc67547272" w:history="1">
            <w:r w:rsidRPr="00756DB4">
              <w:rPr>
                <w:rStyle w:val="Hyperlink"/>
                <w:rFonts w:ascii="Times New Roman" w:hAnsi="Times New Roman" w:cs="Times New Roman"/>
                <w:b/>
                <w:bCs/>
                <w:noProof/>
                <w:color w:val="auto"/>
              </w:rPr>
              <w:t>1.5.</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Infrastruktūras un IT infrastruktūras attīstīšana:</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_Toc67547272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17</w:t>
            </w:r>
            <w:r w:rsidRPr="00756DB4">
              <w:rPr>
                <w:rFonts w:ascii="Times New Roman" w:hAnsi="Times New Roman" w:cs="Times New Roman"/>
                <w:noProof/>
                <w:webHidden/>
              </w:rPr>
              <w:fldChar w:fldCharType="end"/>
            </w:r>
          </w:hyperlink>
        </w:p>
        <w:p w14:paraId="17A0618C" w14:textId="4693F39F" w:rsidR="00756DB4" w:rsidRPr="00756DB4" w:rsidRDefault="00756DB4">
          <w:pPr>
            <w:pStyle w:val="TOC2"/>
            <w:tabs>
              <w:tab w:val="left" w:pos="880"/>
              <w:tab w:val="right" w:leader="dot" w:pos="9344"/>
            </w:tabs>
            <w:rPr>
              <w:rFonts w:ascii="Times New Roman" w:eastAsiaTheme="minorEastAsia" w:hAnsi="Times New Roman" w:cs="Times New Roman"/>
              <w:noProof/>
              <w:lang w:eastAsia="lv-LV"/>
            </w:rPr>
          </w:pPr>
          <w:hyperlink w:anchor="_Toc67547273" w:history="1">
            <w:r w:rsidRPr="00756DB4">
              <w:rPr>
                <w:rStyle w:val="Hyperlink"/>
                <w:rFonts w:ascii="Times New Roman" w:hAnsi="Times New Roman" w:cs="Times New Roman"/>
                <w:b/>
                <w:bCs/>
                <w:noProof/>
                <w:color w:val="auto"/>
              </w:rPr>
              <w:t>1.6.</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Tēla veidošanas pasākumi:</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_Toc67547273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19</w:t>
            </w:r>
            <w:r w:rsidRPr="00756DB4">
              <w:rPr>
                <w:rFonts w:ascii="Times New Roman" w:hAnsi="Times New Roman" w:cs="Times New Roman"/>
                <w:noProof/>
                <w:webHidden/>
              </w:rPr>
              <w:fldChar w:fldCharType="end"/>
            </w:r>
          </w:hyperlink>
        </w:p>
        <w:p w14:paraId="7ECB0329" w14:textId="3C1FE6B7" w:rsidR="00756DB4" w:rsidRPr="00756DB4" w:rsidRDefault="00756DB4">
          <w:pPr>
            <w:pStyle w:val="TOC1"/>
            <w:tabs>
              <w:tab w:val="left" w:pos="440"/>
              <w:tab w:val="right" w:leader="dot" w:pos="9344"/>
            </w:tabs>
            <w:rPr>
              <w:rFonts w:ascii="Times New Roman" w:eastAsiaTheme="minorEastAsia" w:hAnsi="Times New Roman" w:cs="Times New Roman"/>
              <w:noProof/>
              <w:lang w:eastAsia="lv-LV"/>
            </w:rPr>
          </w:pPr>
          <w:hyperlink w:anchor="_Toc67547274" w:history="1">
            <w:r w:rsidRPr="00756DB4">
              <w:rPr>
                <w:rStyle w:val="Hyperlink"/>
                <w:rFonts w:ascii="Times New Roman" w:hAnsi="Times New Roman" w:cs="Times New Roman"/>
                <w:b/>
                <w:bCs/>
                <w:noProof/>
                <w:color w:val="auto"/>
              </w:rPr>
              <w:t>2.</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Finanšu mērķi</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_Toc67547274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20</w:t>
            </w:r>
            <w:r w:rsidRPr="00756DB4">
              <w:rPr>
                <w:rFonts w:ascii="Times New Roman" w:hAnsi="Times New Roman" w:cs="Times New Roman"/>
                <w:noProof/>
                <w:webHidden/>
              </w:rPr>
              <w:fldChar w:fldCharType="end"/>
            </w:r>
          </w:hyperlink>
        </w:p>
        <w:p w14:paraId="4D452ACA" w14:textId="4BE839F4" w:rsidR="00756DB4" w:rsidRPr="00756DB4" w:rsidRDefault="00756DB4">
          <w:pPr>
            <w:pStyle w:val="TOC1"/>
            <w:tabs>
              <w:tab w:val="left" w:pos="440"/>
              <w:tab w:val="right" w:leader="dot" w:pos="9344"/>
            </w:tabs>
            <w:rPr>
              <w:rFonts w:ascii="Times New Roman" w:eastAsiaTheme="minorEastAsia" w:hAnsi="Times New Roman" w:cs="Times New Roman"/>
              <w:noProof/>
              <w:lang w:eastAsia="lv-LV"/>
            </w:rPr>
          </w:pPr>
          <w:hyperlink w:anchor="_Toc67547275" w:history="1">
            <w:r w:rsidRPr="00756DB4">
              <w:rPr>
                <w:rStyle w:val="Hyperlink"/>
                <w:rFonts w:ascii="Times New Roman" w:eastAsia="Calibri" w:hAnsi="Times New Roman" w:cs="Times New Roman"/>
                <w:b/>
                <w:bCs/>
                <w:noProof/>
                <w:color w:val="auto"/>
                <w:lang w:eastAsia="zh-CN"/>
              </w:rPr>
              <w:t>3.</w:t>
            </w:r>
            <w:r w:rsidRPr="00756DB4">
              <w:rPr>
                <w:rFonts w:ascii="Times New Roman" w:eastAsiaTheme="minorEastAsia" w:hAnsi="Times New Roman" w:cs="Times New Roman"/>
                <w:noProof/>
                <w:lang w:eastAsia="lv-LV"/>
              </w:rPr>
              <w:tab/>
            </w:r>
            <w:r w:rsidRPr="00756DB4">
              <w:rPr>
                <w:rStyle w:val="Hyperlink"/>
                <w:rFonts w:ascii="Times New Roman" w:hAnsi="Times New Roman" w:cs="Times New Roman"/>
                <w:b/>
                <w:bCs/>
                <w:noProof/>
                <w:color w:val="auto"/>
              </w:rPr>
              <w:t>Rezultatīvo rādītāju izpilde</w:t>
            </w:r>
            <w:r w:rsidRPr="00756DB4">
              <w:rPr>
                <w:rFonts w:ascii="Times New Roman" w:hAnsi="Times New Roman" w:cs="Times New Roman"/>
                <w:noProof/>
                <w:webHidden/>
              </w:rPr>
              <w:tab/>
            </w:r>
            <w:r w:rsidRPr="00756DB4">
              <w:rPr>
                <w:rFonts w:ascii="Times New Roman" w:hAnsi="Times New Roman" w:cs="Times New Roman"/>
                <w:noProof/>
                <w:webHidden/>
              </w:rPr>
              <w:fldChar w:fldCharType="begin"/>
            </w:r>
            <w:r w:rsidRPr="00756DB4">
              <w:rPr>
                <w:rFonts w:ascii="Times New Roman" w:hAnsi="Times New Roman" w:cs="Times New Roman"/>
                <w:noProof/>
                <w:webHidden/>
              </w:rPr>
              <w:instrText xml:space="preserve"> PAGEREF _Toc67547275 \h </w:instrText>
            </w:r>
            <w:r w:rsidRPr="00756DB4">
              <w:rPr>
                <w:rFonts w:ascii="Times New Roman" w:hAnsi="Times New Roman" w:cs="Times New Roman"/>
                <w:noProof/>
                <w:webHidden/>
              </w:rPr>
            </w:r>
            <w:r w:rsidRPr="00756DB4">
              <w:rPr>
                <w:rFonts w:ascii="Times New Roman" w:hAnsi="Times New Roman" w:cs="Times New Roman"/>
                <w:noProof/>
                <w:webHidden/>
              </w:rPr>
              <w:fldChar w:fldCharType="separate"/>
            </w:r>
            <w:r w:rsidRPr="00756DB4">
              <w:rPr>
                <w:rFonts w:ascii="Times New Roman" w:hAnsi="Times New Roman" w:cs="Times New Roman"/>
                <w:noProof/>
                <w:webHidden/>
              </w:rPr>
              <w:t>22</w:t>
            </w:r>
            <w:r w:rsidRPr="00756DB4">
              <w:rPr>
                <w:rFonts w:ascii="Times New Roman" w:hAnsi="Times New Roman" w:cs="Times New Roman"/>
                <w:noProof/>
                <w:webHidden/>
              </w:rPr>
              <w:fldChar w:fldCharType="end"/>
            </w:r>
          </w:hyperlink>
        </w:p>
        <w:p w14:paraId="0A3EBB82" w14:textId="71875AA0" w:rsidR="00E735D4" w:rsidRDefault="00E735D4">
          <w:r w:rsidRPr="000856C8">
            <w:rPr>
              <w:b/>
              <w:bCs/>
              <w:noProof/>
            </w:rPr>
            <w:fldChar w:fldCharType="end"/>
          </w:r>
        </w:p>
      </w:sdtContent>
    </w:sdt>
    <w:p w14:paraId="6DFC98AA" w14:textId="7854CB41" w:rsidR="00E735D4" w:rsidRDefault="00E735D4">
      <w:pPr>
        <w:rPr>
          <w:rFonts w:ascii="Times New Roman" w:hAnsi="Times New Roman" w:cs="Times New Roman"/>
          <w:b/>
          <w:sz w:val="28"/>
          <w:szCs w:val="28"/>
        </w:rPr>
      </w:pPr>
    </w:p>
    <w:p w14:paraId="34655CE2" w14:textId="77777777" w:rsidR="000856C8" w:rsidRDefault="000856C8">
      <w:pPr>
        <w:rPr>
          <w:rFonts w:ascii="Times New Roman" w:eastAsiaTheme="majorEastAsia" w:hAnsi="Times New Roman" w:cs="Times New Roman"/>
          <w:b/>
          <w:bCs/>
          <w:color w:val="2F5496" w:themeColor="accent1" w:themeShade="BF"/>
          <w:sz w:val="28"/>
          <w:szCs w:val="28"/>
        </w:rPr>
      </w:pPr>
      <w:r>
        <w:rPr>
          <w:rFonts w:ascii="Times New Roman" w:hAnsi="Times New Roman" w:cs="Times New Roman"/>
          <w:b/>
          <w:bCs/>
          <w:sz w:val="28"/>
          <w:szCs w:val="28"/>
        </w:rPr>
        <w:br w:type="page"/>
      </w:r>
    </w:p>
    <w:p w14:paraId="1931948E" w14:textId="560FBA27" w:rsidR="00D57B66" w:rsidRDefault="00D57B66" w:rsidP="00E735D4">
      <w:pPr>
        <w:pStyle w:val="Heading1"/>
        <w:jc w:val="center"/>
        <w:rPr>
          <w:rFonts w:ascii="Times New Roman" w:hAnsi="Times New Roman" w:cs="Times New Roman"/>
          <w:b/>
          <w:bCs/>
          <w:sz w:val="28"/>
          <w:szCs w:val="28"/>
        </w:rPr>
      </w:pPr>
      <w:bookmarkStart w:id="1" w:name="_Toc67547259"/>
      <w:r w:rsidRPr="00E735D4">
        <w:rPr>
          <w:rFonts w:ascii="Times New Roman" w:hAnsi="Times New Roman" w:cs="Times New Roman"/>
          <w:b/>
          <w:bCs/>
          <w:sz w:val="28"/>
          <w:szCs w:val="28"/>
        </w:rPr>
        <w:lastRenderedPageBreak/>
        <w:t>Ievads</w:t>
      </w:r>
      <w:bookmarkEnd w:id="1"/>
    </w:p>
    <w:p w14:paraId="65C175B0" w14:textId="77777777" w:rsidR="00E735D4" w:rsidRPr="00E735D4" w:rsidRDefault="00E735D4" w:rsidP="00E735D4"/>
    <w:p w14:paraId="12D4E2A6" w14:textId="77777777" w:rsidR="00213FF3" w:rsidRPr="00694C64" w:rsidRDefault="00213FF3" w:rsidP="00213FF3">
      <w:pPr>
        <w:spacing w:after="0" w:line="360" w:lineRule="auto"/>
        <w:ind w:firstLine="360"/>
        <w:jc w:val="both"/>
        <w:rPr>
          <w:rFonts w:ascii="Times New Roman" w:hAnsi="Times New Roman" w:cs="Times New Roman"/>
          <w:bCs/>
          <w:sz w:val="24"/>
          <w:szCs w:val="24"/>
        </w:rPr>
      </w:pPr>
      <w:r w:rsidRPr="00694C64">
        <w:rPr>
          <w:rFonts w:ascii="Times New Roman" w:hAnsi="Times New Roman" w:cs="Times New Roman"/>
          <w:bCs/>
          <w:sz w:val="24"/>
          <w:szCs w:val="24"/>
        </w:rPr>
        <w:t>Kapitālsabiedrības vidējā termiņa darbības stratēģijas 2020.-2024.gadam (turpmāk – stratēģija) izvirzīto stratēģisko mērķu:</w:t>
      </w:r>
    </w:p>
    <w:p w14:paraId="0C07B01B" w14:textId="77777777" w:rsidR="00213FF3" w:rsidRPr="00694C64" w:rsidRDefault="00213FF3" w:rsidP="00213FF3">
      <w:pPr>
        <w:pStyle w:val="ListParagraph"/>
        <w:numPr>
          <w:ilvl w:val="0"/>
          <w:numId w:val="9"/>
        </w:numPr>
        <w:spacing w:after="0" w:line="360" w:lineRule="auto"/>
        <w:ind w:left="426"/>
        <w:jc w:val="both"/>
        <w:rPr>
          <w:rFonts w:ascii="Times New Roman" w:eastAsia="Calibri" w:hAnsi="Times New Roman" w:cs="Times New Roman"/>
          <w:bCs/>
          <w:i/>
          <w:iCs/>
          <w:sz w:val="24"/>
          <w:szCs w:val="24"/>
          <w:lang w:eastAsia="zh-CN"/>
        </w:rPr>
      </w:pPr>
      <w:r w:rsidRPr="00694C64">
        <w:rPr>
          <w:rFonts w:ascii="Times New Roman" w:eastAsia="Calibri" w:hAnsi="Times New Roman" w:cs="Times New Roman"/>
          <w:bCs/>
          <w:i/>
          <w:iCs/>
          <w:sz w:val="24"/>
          <w:szCs w:val="24"/>
          <w:lang w:eastAsia="zh-CN"/>
        </w:rPr>
        <w:t xml:space="preserve">Kvalitatīvas veselības aprūpes pieejamības un pilnveides nodrošināšana, atbilstošas infrastruktūras attīstība, veselības veicināšana un slimību profilakse, rehabilitācijas pakalpojumu pieejamība un attīstība, nodrošinot daudzprofilu neatliekamās medicīniskās palīdzības slimnīcas statusa saglabāšanu. </w:t>
      </w:r>
    </w:p>
    <w:p w14:paraId="1DFBBF52" w14:textId="77777777" w:rsidR="00213FF3" w:rsidRPr="00694C64" w:rsidRDefault="00213FF3" w:rsidP="00213FF3">
      <w:pPr>
        <w:pStyle w:val="ListParagraph"/>
        <w:numPr>
          <w:ilvl w:val="0"/>
          <w:numId w:val="9"/>
        </w:numPr>
        <w:spacing w:after="0" w:line="360" w:lineRule="auto"/>
        <w:ind w:left="426"/>
        <w:jc w:val="both"/>
        <w:rPr>
          <w:rFonts w:ascii="Times New Roman" w:eastAsia="Calibri" w:hAnsi="Times New Roman" w:cs="Times New Roman"/>
          <w:bCs/>
          <w:i/>
          <w:iCs/>
          <w:sz w:val="24"/>
          <w:szCs w:val="24"/>
          <w:lang w:eastAsia="zh-CN"/>
        </w:rPr>
      </w:pPr>
      <w:r w:rsidRPr="00694C64">
        <w:rPr>
          <w:rFonts w:ascii="Times New Roman" w:eastAsia="Calibri" w:hAnsi="Times New Roman" w:cs="Times New Roman"/>
          <w:bCs/>
          <w:i/>
          <w:iCs/>
          <w:sz w:val="24"/>
          <w:szCs w:val="24"/>
          <w:lang w:eastAsia="zh-CN"/>
        </w:rPr>
        <w:t>Veselības pakalpojumu sniegšanai nepieciešamās infrastruktūras uzlabošana un pakalpojumu klāstu</w:t>
      </w:r>
      <w:r w:rsidRPr="00694C64">
        <w:rPr>
          <w:rFonts w:ascii="Times New Roman" w:eastAsia="Calibri" w:hAnsi="Times New Roman" w:cs="Times New Roman"/>
          <w:bCs/>
          <w:i/>
          <w:iCs/>
          <w:sz w:val="24"/>
          <w:szCs w:val="24"/>
          <w:lang w:val="zh-CN" w:eastAsia="zh-CN"/>
        </w:rPr>
        <w:t xml:space="preserve"> </w:t>
      </w:r>
      <w:r w:rsidRPr="00694C64">
        <w:rPr>
          <w:rFonts w:ascii="Times New Roman" w:eastAsia="Calibri" w:hAnsi="Times New Roman" w:cs="Times New Roman"/>
          <w:bCs/>
          <w:i/>
          <w:iCs/>
          <w:sz w:val="24"/>
          <w:szCs w:val="24"/>
          <w:lang w:eastAsia="zh-CN"/>
        </w:rPr>
        <w:t>pilnveidošana.</w:t>
      </w:r>
    </w:p>
    <w:p w14:paraId="4F47A4D9" w14:textId="77777777" w:rsidR="003D2962" w:rsidRDefault="003D2962" w:rsidP="00213FF3">
      <w:pPr>
        <w:spacing w:after="0" w:line="360" w:lineRule="auto"/>
        <w:jc w:val="both"/>
        <w:rPr>
          <w:rFonts w:ascii="Times New Roman" w:eastAsia="Calibri" w:hAnsi="Times New Roman" w:cs="Times New Roman"/>
          <w:bCs/>
          <w:sz w:val="24"/>
          <w:szCs w:val="24"/>
          <w:lang w:eastAsia="zh-CN"/>
        </w:rPr>
      </w:pPr>
    </w:p>
    <w:p w14:paraId="5DE77984" w14:textId="4D4AF28B" w:rsidR="00213FF3" w:rsidRPr="00694C64" w:rsidRDefault="003D2962" w:rsidP="00213FF3">
      <w:pPr>
        <w:spacing w:after="0" w:line="36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Mērķu ī</w:t>
      </w:r>
      <w:r w:rsidR="00213FF3" w:rsidRPr="00694C64">
        <w:rPr>
          <w:rFonts w:ascii="Times New Roman" w:eastAsia="Calibri" w:hAnsi="Times New Roman" w:cs="Times New Roman"/>
          <w:bCs/>
          <w:sz w:val="24"/>
          <w:szCs w:val="24"/>
          <w:lang w:eastAsia="zh-CN"/>
        </w:rPr>
        <w:t>stenošana tiek organizēta darbības virzienos:</w:t>
      </w:r>
    </w:p>
    <w:p w14:paraId="142D96CC" w14:textId="77777777" w:rsidR="00213FF3" w:rsidRPr="00694C64" w:rsidRDefault="00213FF3" w:rsidP="003D2962">
      <w:pPr>
        <w:pStyle w:val="ListParagraph"/>
        <w:numPr>
          <w:ilvl w:val="0"/>
          <w:numId w:val="8"/>
        </w:numPr>
        <w:spacing w:after="0" w:line="360" w:lineRule="auto"/>
        <w:ind w:left="426" w:hanging="426"/>
        <w:jc w:val="both"/>
        <w:rPr>
          <w:rFonts w:ascii="Times New Roman" w:hAnsi="Times New Roman" w:cs="Times New Roman"/>
          <w:bCs/>
          <w:sz w:val="24"/>
          <w:szCs w:val="24"/>
        </w:rPr>
      </w:pPr>
      <w:r w:rsidRPr="00694C64">
        <w:rPr>
          <w:rFonts w:ascii="Times New Roman" w:hAnsi="Times New Roman" w:cs="Times New Roman"/>
          <w:bCs/>
          <w:sz w:val="24"/>
          <w:szCs w:val="24"/>
        </w:rPr>
        <w:t>Veselības aprūpes pakalpojumu pieejamības uzlabošana;</w:t>
      </w:r>
    </w:p>
    <w:p w14:paraId="33FEBB6B" w14:textId="77777777" w:rsidR="00213FF3" w:rsidRPr="00694C64" w:rsidRDefault="00213FF3" w:rsidP="003D2962">
      <w:pPr>
        <w:pStyle w:val="ListParagraph"/>
        <w:numPr>
          <w:ilvl w:val="0"/>
          <w:numId w:val="8"/>
        </w:numPr>
        <w:spacing w:after="0" w:line="360" w:lineRule="auto"/>
        <w:ind w:left="426" w:hanging="426"/>
        <w:jc w:val="both"/>
        <w:rPr>
          <w:rFonts w:ascii="Times New Roman" w:hAnsi="Times New Roman" w:cs="Times New Roman"/>
          <w:bCs/>
          <w:sz w:val="24"/>
          <w:szCs w:val="24"/>
        </w:rPr>
      </w:pPr>
      <w:r w:rsidRPr="00694C64">
        <w:rPr>
          <w:rFonts w:ascii="Times New Roman" w:hAnsi="Times New Roman" w:cs="Times New Roman"/>
          <w:bCs/>
          <w:sz w:val="24"/>
          <w:szCs w:val="24"/>
        </w:rPr>
        <w:t>Veselības aprūpes pakalpojumu plānošanas un sniegšanas efektivitātes paaugstināšana;</w:t>
      </w:r>
    </w:p>
    <w:p w14:paraId="4E68D143" w14:textId="77777777" w:rsidR="00213FF3" w:rsidRPr="00694C64" w:rsidRDefault="00213FF3" w:rsidP="003D2962">
      <w:pPr>
        <w:pStyle w:val="ListParagraph"/>
        <w:numPr>
          <w:ilvl w:val="0"/>
          <w:numId w:val="8"/>
        </w:numPr>
        <w:spacing w:after="0" w:line="360" w:lineRule="auto"/>
        <w:ind w:left="426" w:hanging="426"/>
        <w:jc w:val="both"/>
        <w:rPr>
          <w:rFonts w:ascii="Times New Roman" w:hAnsi="Times New Roman" w:cs="Times New Roman"/>
          <w:bCs/>
          <w:sz w:val="24"/>
          <w:szCs w:val="24"/>
        </w:rPr>
      </w:pPr>
      <w:r w:rsidRPr="00694C64">
        <w:rPr>
          <w:rFonts w:ascii="Times New Roman" w:hAnsi="Times New Roman" w:cs="Times New Roman"/>
          <w:bCs/>
          <w:sz w:val="24"/>
          <w:szCs w:val="24"/>
        </w:rPr>
        <w:t>Pacientu drošības un veselības aprūpes pakalpojumu kvalitātes nodrošināšana.</w:t>
      </w:r>
    </w:p>
    <w:p w14:paraId="369BBA24" w14:textId="77777777" w:rsidR="003D2962" w:rsidRDefault="003D2962" w:rsidP="00213FF3">
      <w:pPr>
        <w:spacing w:after="0" w:line="360" w:lineRule="auto"/>
        <w:ind w:firstLine="567"/>
        <w:jc w:val="both"/>
        <w:rPr>
          <w:rFonts w:ascii="Times New Roman" w:hAnsi="Times New Roman" w:cs="Times New Roman"/>
          <w:bCs/>
          <w:sz w:val="24"/>
          <w:szCs w:val="24"/>
        </w:rPr>
      </w:pPr>
    </w:p>
    <w:p w14:paraId="2630C591" w14:textId="0A8BF752" w:rsidR="00213FF3" w:rsidRPr="00694C64" w:rsidRDefault="00213FF3" w:rsidP="00213FF3">
      <w:pPr>
        <w:spacing w:after="0" w:line="360" w:lineRule="auto"/>
        <w:ind w:firstLine="567"/>
        <w:jc w:val="both"/>
        <w:rPr>
          <w:rFonts w:ascii="Times New Roman" w:hAnsi="Times New Roman" w:cs="Times New Roman"/>
          <w:bCs/>
          <w:sz w:val="24"/>
          <w:szCs w:val="24"/>
          <w:shd w:val="clear" w:color="auto" w:fill="FFFFFF"/>
        </w:rPr>
      </w:pPr>
      <w:r w:rsidRPr="00694C64">
        <w:rPr>
          <w:rFonts w:ascii="Times New Roman" w:hAnsi="Times New Roman" w:cs="Times New Roman"/>
          <w:bCs/>
          <w:sz w:val="24"/>
          <w:szCs w:val="24"/>
        </w:rPr>
        <w:t xml:space="preserve">Katram darbības virzienam ir noteikti sasniedzamie rezultatīvie rādītāji, kas </w:t>
      </w:r>
      <w:r w:rsidRPr="00694C64">
        <w:rPr>
          <w:rFonts w:ascii="Times New Roman" w:hAnsi="Times New Roman" w:cs="Times New Roman"/>
          <w:bCs/>
          <w:color w:val="2A2A2A"/>
          <w:sz w:val="24"/>
          <w:szCs w:val="24"/>
          <w:shd w:val="clear" w:color="auto" w:fill="FFFFFF"/>
        </w:rPr>
        <w:t xml:space="preserve">izsaka attiecīgā rīcības virziena, sniegtā pakalpojuma </w:t>
      </w:r>
      <w:r w:rsidRPr="00694C64">
        <w:rPr>
          <w:rFonts w:ascii="Times New Roman" w:hAnsi="Times New Roman" w:cs="Times New Roman"/>
          <w:bCs/>
          <w:i/>
          <w:iCs/>
          <w:color w:val="2A2A2A"/>
          <w:sz w:val="24"/>
          <w:szCs w:val="24"/>
          <w:shd w:val="clear" w:color="auto" w:fill="FFFFFF"/>
        </w:rPr>
        <w:t>labāko iespējamo vērtību,</w:t>
      </w:r>
      <w:r w:rsidRPr="00694C64">
        <w:rPr>
          <w:rFonts w:ascii="Times New Roman" w:hAnsi="Times New Roman" w:cs="Times New Roman"/>
          <w:bCs/>
          <w:color w:val="2A2A2A"/>
          <w:sz w:val="24"/>
          <w:szCs w:val="24"/>
          <w:shd w:val="clear" w:color="auto" w:fill="FFFFFF"/>
        </w:rPr>
        <w:t xml:space="preserve"> ņemot vērā pieejamos laika, finanšu un cilvēkresursus un</w:t>
      </w:r>
      <w:r w:rsidRPr="00694C64">
        <w:rPr>
          <w:rFonts w:ascii="Times New Roman" w:hAnsi="Times New Roman" w:cs="Times New Roman"/>
          <w:bCs/>
          <w:sz w:val="24"/>
          <w:szCs w:val="24"/>
        </w:rPr>
        <w:t xml:space="preserve"> nodrošina </w:t>
      </w:r>
      <w:r w:rsidRPr="00E735D4">
        <w:rPr>
          <w:rFonts w:ascii="Times New Roman" w:hAnsi="Times New Roman" w:cs="Times New Roman"/>
          <w:bCs/>
          <w:sz w:val="24"/>
          <w:szCs w:val="24"/>
          <w:shd w:val="clear" w:color="auto" w:fill="FFFFFF"/>
        </w:rPr>
        <w:t>izvirzīto </w:t>
      </w:r>
      <w:r w:rsidRPr="00E735D4">
        <w:rPr>
          <w:rStyle w:val="Strong"/>
          <w:rFonts w:ascii="Times New Roman" w:hAnsi="Times New Roman" w:cs="Times New Roman"/>
          <w:b w:val="0"/>
          <w:sz w:val="24"/>
          <w:szCs w:val="24"/>
          <w:shd w:val="clear" w:color="auto" w:fill="FFFFFF"/>
        </w:rPr>
        <w:t>mērķu</w:t>
      </w:r>
      <w:r w:rsidRPr="00E735D4">
        <w:rPr>
          <w:rFonts w:ascii="Times New Roman" w:hAnsi="Times New Roman" w:cs="Times New Roman"/>
          <w:bCs/>
          <w:sz w:val="24"/>
          <w:szCs w:val="24"/>
          <w:shd w:val="clear" w:color="auto" w:fill="FFFFFF"/>
        </w:rPr>
        <w:t xml:space="preserve"> sasniegšanas pakāpes mērīšanu. </w:t>
      </w:r>
      <w:r w:rsidRPr="00E735D4">
        <w:rPr>
          <w:rFonts w:ascii="Times New Roman" w:hAnsi="Times New Roman" w:cs="Times New Roman"/>
          <w:bCs/>
          <w:sz w:val="24"/>
          <w:szCs w:val="24"/>
        </w:rPr>
        <w:t xml:space="preserve">Darbības virzieni ietver  nefinanšu un finanšu mērķus, kas  </w:t>
      </w:r>
      <w:r w:rsidRPr="00E735D4">
        <w:rPr>
          <w:rFonts w:ascii="Times New Roman" w:hAnsi="Times New Roman" w:cs="Times New Roman"/>
          <w:bCs/>
          <w:sz w:val="24"/>
          <w:szCs w:val="24"/>
          <w:shd w:val="clear" w:color="auto" w:fill="FFFFFF"/>
        </w:rPr>
        <w:t>ir sasniedzami</w:t>
      </w:r>
      <w:r w:rsidRPr="00694C64">
        <w:rPr>
          <w:rFonts w:ascii="Times New Roman" w:hAnsi="Times New Roman" w:cs="Times New Roman"/>
          <w:bCs/>
          <w:sz w:val="24"/>
          <w:szCs w:val="24"/>
          <w:shd w:val="clear" w:color="auto" w:fill="FFFFFF"/>
        </w:rPr>
        <w:t xml:space="preserve"> valdes pilnvarojuma ietvaros.</w:t>
      </w:r>
    </w:p>
    <w:p w14:paraId="3818176E" w14:textId="77777777" w:rsidR="00213FF3" w:rsidRPr="00694C64" w:rsidRDefault="00213FF3" w:rsidP="00213FF3">
      <w:pPr>
        <w:spacing w:after="0" w:line="360" w:lineRule="auto"/>
        <w:ind w:firstLine="567"/>
        <w:jc w:val="both"/>
        <w:rPr>
          <w:rFonts w:ascii="Times New Roman" w:hAnsi="Times New Roman" w:cs="Times New Roman"/>
          <w:bCs/>
          <w:sz w:val="24"/>
          <w:szCs w:val="24"/>
        </w:rPr>
      </w:pPr>
      <w:r w:rsidRPr="00694C64">
        <w:rPr>
          <w:rFonts w:ascii="Times New Roman" w:hAnsi="Times New Roman" w:cs="Times New Roman"/>
          <w:bCs/>
          <w:sz w:val="24"/>
          <w:szCs w:val="24"/>
          <w:shd w:val="clear" w:color="auto" w:fill="FFFFFF"/>
        </w:rPr>
        <w:t xml:space="preserve"> Šajā pārskatā tiek sniegta informācija par 2020.gadā sasniegtajiem rezultātiem (stratēģijas 7.pielikums) un apstākļiem, kas ietekmēja rezultātu sasniegšanas procesu, atbilstoši stratēģijas 5.sadaļas “</w:t>
      </w:r>
      <w:r w:rsidRPr="00694C64">
        <w:rPr>
          <w:rFonts w:ascii="Times New Roman" w:hAnsi="Times New Roman" w:cs="Times New Roman"/>
          <w:bCs/>
          <w:sz w:val="24"/>
          <w:szCs w:val="24"/>
        </w:rPr>
        <w:t>Kapitālsabiedrības attīstības plāns, nefinanšu un finanšu mērķi 2020.- 2024.gadam” struktūrai.</w:t>
      </w:r>
    </w:p>
    <w:p w14:paraId="0F47A2F1" w14:textId="77777777" w:rsidR="00213FF3" w:rsidRPr="00694C64" w:rsidRDefault="00213FF3" w:rsidP="00213FF3">
      <w:pPr>
        <w:spacing w:after="0" w:line="360" w:lineRule="auto"/>
        <w:ind w:firstLine="567"/>
        <w:jc w:val="both"/>
        <w:rPr>
          <w:rFonts w:ascii="Times New Roman" w:eastAsia="Calibri" w:hAnsi="Times New Roman" w:cs="Times New Roman"/>
          <w:bCs/>
          <w:color w:val="000000"/>
          <w:sz w:val="24"/>
          <w:szCs w:val="24"/>
          <w:lang w:eastAsia="zh-CN"/>
        </w:rPr>
      </w:pPr>
      <w:r w:rsidRPr="00694C64">
        <w:rPr>
          <w:rFonts w:ascii="Times New Roman" w:eastAsia="Calibri" w:hAnsi="Times New Roman" w:cs="Times New Roman"/>
          <w:bCs/>
          <w:color w:val="000000"/>
          <w:sz w:val="24"/>
          <w:szCs w:val="24"/>
          <w:lang w:eastAsia="zh-CN"/>
        </w:rPr>
        <w:t xml:space="preserve">Kapitālsabiedrības gan finanšu darbību, gan sniegto pakalpojumu apjomu (plānveida stacionāros un sekundāros ambulatoros veselības aprūpes pakalpojumus), kā arī būtiski ierobežojuma maksas pakalpojumu attīstības iespējas, ietekmēja COVID-19 pandēmija un ārkārtējās situācijas valstī izsludināšana divas reizes viena gada laikā, papildus noteiktie epidemioloģiskie drošības pasākumi (kā piemēram, karantīnas, pašizolācijas ievērošanas prasības, kura laikā plānveida pakalpojumi nav pieejami, covid negatīva testa nepieciešamība (ne vēlāk kā 48 stundas) pirms plānveida operācijas vai invazīvā izmeklējuma). Būtiska ietekme pakalpojumu apjoma izpildei bija arī personāla saslimstība ar COVID-19 infekciju un kontaktpersonu karantīna (2020.gada oktoris-decembris), kad akūtākā periodā vienlaicīgi prombūtnē bija pat 70 darbinieki, lai gan kapitālsabiedrībā tika pastiprinātas epidemioloģiskās prasības un individuālo aizsardzības līdzekļu lietošanas kārtība un dezinfekcijas režīms. Individuālie aizsardzības līdzekļi </w:t>
      </w:r>
      <w:r w:rsidRPr="00694C64">
        <w:rPr>
          <w:rFonts w:ascii="Times New Roman" w:eastAsia="Calibri" w:hAnsi="Times New Roman" w:cs="Times New Roman"/>
          <w:bCs/>
          <w:color w:val="000000"/>
          <w:sz w:val="24"/>
          <w:szCs w:val="24"/>
          <w:lang w:eastAsia="zh-CN"/>
        </w:rPr>
        <w:lastRenderedPageBreak/>
        <w:t>kapitālsabiedrībā tika nodrošināti atbilsoši noteiktajām vadlīnijām un pielietojamiem komplektiem.</w:t>
      </w:r>
    </w:p>
    <w:p w14:paraId="4A42B212" w14:textId="77777777" w:rsidR="00213FF3" w:rsidRPr="00694C64" w:rsidRDefault="00213FF3" w:rsidP="00213FF3">
      <w:pPr>
        <w:spacing w:after="0" w:line="360" w:lineRule="auto"/>
        <w:ind w:firstLine="567"/>
        <w:jc w:val="both"/>
        <w:rPr>
          <w:rFonts w:ascii="Times New Roman" w:eastAsia="Calibri" w:hAnsi="Times New Roman" w:cs="Times New Roman"/>
          <w:bCs/>
          <w:color w:val="000000"/>
          <w:sz w:val="24"/>
          <w:szCs w:val="24"/>
          <w:lang w:eastAsia="zh-CN"/>
        </w:rPr>
      </w:pPr>
      <w:r w:rsidRPr="00694C64">
        <w:rPr>
          <w:rFonts w:ascii="Times New Roman" w:eastAsia="Calibri" w:hAnsi="Times New Roman" w:cs="Times New Roman"/>
          <w:bCs/>
          <w:color w:val="000000"/>
          <w:sz w:val="24"/>
          <w:szCs w:val="24"/>
          <w:lang w:eastAsia="zh-CN"/>
        </w:rPr>
        <w:t>COVID-19 pandēmija un ārkārtējā situācijas valstī ir ieviesusi izmaiņas kapitālsabiedrības struktūrā – proti, pārprofilētas nodaļas, izveidojot (pielāgojot) nodaļas vīrusa skarto pacientu ārstēšanai. Uz gada beigām izveidotas 50 gultas vidēji smagu pacientu ārstēšanai (Infekcijas nodaļas un 2.terapijas nodaļas telpās) un deviņas gultas smagu pacientu ārstēšanai (Ginekoloģijas nodaļas telpās, jo tās atrodas blakus esošai Reanimācijas nodaļai. Līdz ar to tika nodrošināta racionālāka nodaļu koordinēšana un pacientu, personāla un materiālu plūsmu nodrošināšana</w:t>
      </w:r>
      <w:r w:rsidRPr="00694C64">
        <w:rPr>
          <w:rFonts w:ascii="Times New Roman" w:eastAsia="Calibri" w:hAnsi="Times New Roman" w:cs="Times New Roman"/>
          <w:bCs/>
          <w:strike/>
          <w:color w:val="000000"/>
          <w:sz w:val="24"/>
          <w:szCs w:val="24"/>
          <w:lang w:eastAsia="zh-CN"/>
        </w:rPr>
        <w:t>i</w:t>
      </w:r>
      <w:r w:rsidRPr="00694C64">
        <w:rPr>
          <w:rFonts w:ascii="Times New Roman" w:eastAsia="Calibri" w:hAnsi="Times New Roman" w:cs="Times New Roman"/>
          <w:bCs/>
          <w:color w:val="000000"/>
          <w:sz w:val="24"/>
          <w:szCs w:val="24"/>
          <w:lang w:eastAsia="zh-CN"/>
        </w:rPr>
        <w:t xml:space="preserve">). </w:t>
      </w:r>
    </w:p>
    <w:p w14:paraId="25480172" w14:textId="67CBF6D5" w:rsidR="009B1F73" w:rsidRPr="00A16BF3" w:rsidRDefault="009B1F73" w:rsidP="000E2D46">
      <w:pPr>
        <w:spacing w:after="0" w:line="360" w:lineRule="auto"/>
        <w:ind w:firstLine="567"/>
        <w:jc w:val="both"/>
        <w:rPr>
          <w:rFonts w:ascii="Times New Roman" w:eastAsia="Calibri" w:hAnsi="Times New Roman" w:cs="Times New Roman"/>
          <w:color w:val="000000"/>
          <w:sz w:val="24"/>
          <w:szCs w:val="24"/>
          <w:lang w:eastAsia="zh-CN"/>
        </w:rPr>
      </w:pPr>
    </w:p>
    <w:p w14:paraId="40BEC588" w14:textId="77777777" w:rsidR="003D2962" w:rsidRDefault="003D2962">
      <w:pPr>
        <w:rPr>
          <w:rFonts w:ascii="Times New Roman" w:eastAsiaTheme="majorEastAsia" w:hAnsi="Times New Roman" w:cs="Times New Roman"/>
          <w:b/>
          <w:bCs/>
          <w:color w:val="2F5496" w:themeColor="accent1" w:themeShade="BF"/>
          <w:sz w:val="28"/>
          <w:szCs w:val="28"/>
        </w:rPr>
      </w:pPr>
      <w:r>
        <w:rPr>
          <w:rFonts w:ascii="Times New Roman" w:hAnsi="Times New Roman" w:cs="Times New Roman"/>
          <w:b/>
          <w:bCs/>
          <w:sz w:val="28"/>
          <w:szCs w:val="28"/>
        </w:rPr>
        <w:br w:type="page"/>
      </w:r>
    </w:p>
    <w:p w14:paraId="299363E6" w14:textId="0F40B725" w:rsidR="000B758F" w:rsidRPr="00E735D4" w:rsidRDefault="006A5847" w:rsidP="00E735D4">
      <w:pPr>
        <w:pStyle w:val="Heading1"/>
        <w:numPr>
          <w:ilvl w:val="0"/>
          <w:numId w:val="4"/>
        </w:numPr>
        <w:jc w:val="center"/>
        <w:rPr>
          <w:rFonts w:ascii="Times New Roman" w:hAnsi="Times New Roman" w:cs="Times New Roman"/>
          <w:b/>
          <w:bCs/>
          <w:sz w:val="28"/>
          <w:szCs w:val="28"/>
        </w:rPr>
      </w:pPr>
      <w:bookmarkStart w:id="2" w:name="_Toc67547260"/>
      <w:r w:rsidRPr="00E735D4">
        <w:rPr>
          <w:rFonts w:ascii="Times New Roman" w:hAnsi="Times New Roman" w:cs="Times New Roman"/>
          <w:b/>
          <w:bCs/>
          <w:sz w:val="28"/>
          <w:szCs w:val="28"/>
        </w:rPr>
        <w:lastRenderedPageBreak/>
        <w:t>Nefinanšu mērķi</w:t>
      </w:r>
      <w:bookmarkEnd w:id="2"/>
    </w:p>
    <w:p w14:paraId="5A47F61E" w14:textId="5472812D" w:rsidR="00C73403" w:rsidRPr="000856C8" w:rsidRDefault="00C73403" w:rsidP="00E735D4">
      <w:pPr>
        <w:pStyle w:val="Heading2"/>
        <w:numPr>
          <w:ilvl w:val="1"/>
          <w:numId w:val="4"/>
        </w:numPr>
        <w:ind w:left="426"/>
        <w:rPr>
          <w:rFonts w:ascii="Times New Roman" w:hAnsi="Times New Roman" w:cs="Times New Roman"/>
          <w:b/>
          <w:bCs/>
          <w:sz w:val="24"/>
          <w:szCs w:val="24"/>
        </w:rPr>
      </w:pPr>
      <w:bookmarkStart w:id="3" w:name="_Toc67547261"/>
      <w:r w:rsidRPr="000856C8">
        <w:rPr>
          <w:rFonts w:ascii="Times New Roman" w:hAnsi="Times New Roman" w:cs="Times New Roman"/>
          <w:b/>
          <w:bCs/>
          <w:sz w:val="24"/>
          <w:szCs w:val="24"/>
        </w:rPr>
        <w:t>Kapitālsabiedrības vadība</w:t>
      </w:r>
      <w:bookmarkEnd w:id="3"/>
    </w:p>
    <w:p w14:paraId="3102F94D" w14:textId="77777777" w:rsidR="00460376" w:rsidRPr="00A16BF3" w:rsidRDefault="00460376" w:rsidP="0048102B">
      <w:pPr>
        <w:pStyle w:val="teksts"/>
        <w:ind w:left="426" w:firstLine="0"/>
      </w:pPr>
      <w:r w:rsidRPr="00A16BF3">
        <w:rPr>
          <w:b/>
        </w:rPr>
        <w:t>Mērķi:</w:t>
      </w:r>
      <w:r w:rsidRPr="00A16BF3">
        <w:t xml:space="preserve"> </w:t>
      </w:r>
    </w:p>
    <w:p w14:paraId="7B56442E" w14:textId="4A65733E" w:rsidR="00460376" w:rsidRPr="00A16BF3" w:rsidRDefault="00460376" w:rsidP="003D2962">
      <w:pPr>
        <w:pStyle w:val="teksts"/>
        <w:numPr>
          <w:ilvl w:val="0"/>
          <w:numId w:val="13"/>
        </w:numPr>
        <w:ind w:left="426" w:hanging="426"/>
        <w:rPr>
          <w:i/>
          <w:iCs/>
        </w:rPr>
      </w:pPr>
      <w:r w:rsidRPr="00A16BF3">
        <w:rPr>
          <w:i/>
          <w:iCs/>
        </w:rPr>
        <w:t>izstrādāt efektīvāku vadības modeli, lai novērstu funkciju dublēšanos un mazinātu uzraudzības risku;</w:t>
      </w:r>
    </w:p>
    <w:p w14:paraId="37829D56" w14:textId="7520C812" w:rsidR="00460376" w:rsidRPr="00A16BF3" w:rsidRDefault="00460376" w:rsidP="003D2962">
      <w:pPr>
        <w:pStyle w:val="ListParagraph"/>
        <w:numPr>
          <w:ilvl w:val="0"/>
          <w:numId w:val="13"/>
        </w:numPr>
        <w:spacing w:after="0" w:line="360" w:lineRule="auto"/>
        <w:ind w:left="426" w:hanging="426"/>
        <w:jc w:val="both"/>
        <w:rPr>
          <w:rFonts w:ascii="Times New Roman" w:hAnsi="Times New Roman" w:cs="Times New Roman"/>
          <w:b/>
          <w:i/>
          <w:iCs/>
          <w:sz w:val="24"/>
          <w:szCs w:val="24"/>
        </w:rPr>
      </w:pPr>
      <w:r w:rsidRPr="00A16BF3">
        <w:rPr>
          <w:rFonts w:ascii="Times New Roman" w:hAnsi="Times New Roman" w:cs="Times New Roman"/>
          <w:i/>
          <w:iCs/>
          <w:sz w:val="24"/>
          <w:szCs w:val="24"/>
        </w:rPr>
        <w:t xml:space="preserve">pārskatīt un attīstīt biznesa modeli, lai efektīvāk izmantotu Slimnīcas infrastruktūru un palielinātu </w:t>
      </w:r>
      <w:r w:rsidR="001728A6" w:rsidRPr="00A16BF3">
        <w:rPr>
          <w:rFonts w:ascii="Times New Roman" w:hAnsi="Times New Roman" w:cs="Times New Roman"/>
          <w:i/>
          <w:iCs/>
          <w:sz w:val="24"/>
          <w:szCs w:val="24"/>
        </w:rPr>
        <w:t>veselības aprūpes pakalpojumu</w:t>
      </w:r>
      <w:r w:rsidRPr="00A16BF3">
        <w:rPr>
          <w:rFonts w:ascii="Times New Roman" w:hAnsi="Times New Roman" w:cs="Times New Roman"/>
          <w:i/>
          <w:iCs/>
          <w:sz w:val="24"/>
          <w:szCs w:val="24"/>
        </w:rPr>
        <w:t xml:space="preserve"> apjomu un kvalitāti.</w:t>
      </w:r>
    </w:p>
    <w:p w14:paraId="235B230E" w14:textId="77777777" w:rsidR="001728A6" w:rsidRPr="00213FF3" w:rsidRDefault="001728A6" w:rsidP="000E2D46">
      <w:pPr>
        <w:spacing w:after="0" w:line="360" w:lineRule="auto"/>
        <w:ind w:firstLine="567"/>
        <w:jc w:val="both"/>
        <w:rPr>
          <w:rFonts w:ascii="Times New Roman" w:hAnsi="Times New Roman" w:cs="Times New Roman"/>
          <w:sz w:val="20"/>
          <w:szCs w:val="20"/>
        </w:rPr>
      </w:pPr>
    </w:p>
    <w:p w14:paraId="3A1D2B6C" w14:textId="77777777" w:rsidR="00213FF3" w:rsidRDefault="00213FF3" w:rsidP="000856C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Kapitālsabiedrības valde no 2020.gada </w:t>
      </w:r>
      <w:r>
        <w:rPr>
          <w:rFonts w:ascii="Times New Roman" w:eastAsia="Calibri" w:hAnsi="Times New Roman" w:cs="Times New Roman"/>
          <w:color w:val="000000"/>
          <w:sz w:val="24"/>
          <w:szCs w:val="24"/>
          <w:lang w:eastAsia="zh-CN"/>
        </w:rPr>
        <w:t>13.novembra</w:t>
      </w:r>
      <w:r>
        <w:rPr>
          <w:rFonts w:eastAsia="Calibri"/>
          <w:color w:val="000000"/>
          <w:sz w:val="20"/>
          <w:szCs w:val="20"/>
          <w:lang w:eastAsia="zh-CN"/>
        </w:rPr>
        <w:t xml:space="preserve"> </w:t>
      </w:r>
      <w:r>
        <w:rPr>
          <w:rFonts w:ascii="Times New Roman" w:hAnsi="Times New Roman" w:cs="Times New Roman"/>
          <w:sz w:val="24"/>
          <w:szCs w:val="24"/>
        </w:rPr>
        <w:t xml:space="preserve"> strādā pilnā  sastāvā un sastāv no trim locekļiem ar sekojošām atbildības jomām:</w:t>
      </w:r>
    </w:p>
    <w:p w14:paraId="0C17B08B" w14:textId="77777777" w:rsidR="00213FF3" w:rsidRDefault="00213FF3" w:rsidP="003D2962">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valdes priekšsēdētāja – uzņēmuma stratēģiskā vadība, finanšu, personāla un administratīvo procesu vadība;</w:t>
      </w:r>
    </w:p>
    <w:p w14:paraId="03DC83F7" w14:textId="77777777" w:rsidR="00213FF3" w:rsidRDefault="00213FF3" w:rsidP="003D2962">
      <w:pPr>
        <w:pStyle w:val="ListParagraph"/>
        <w:numPr>
          <w:ilvl w:val="0"/>
          <w:numId w:val="10"/>
        </w:numPr>
        <w:spacing w:after="0" w:line="360" w:lineRule="auto"/>
        <w:ind w:left="426" w:hanging="426"/>
        <w:jc w:val="both"/>
        <w:rPr>
          <w:rFonts w:ascii="Times New Roman" w:hAnsi="Times New Roman" w:cs="Times New Roman"/>
          <w:color w:val="444444"/>
          <w:sz w:val="24"/>
          <w:szCs w:val="24"/>
          <w:shd w:val="clear" w:color="auto" w:fill="FFFFFF"/>
        </w:rPr>
      </w:pPr>
      <w:r>
        <w:rPr>
          <w:rFonts w:ascii="Times New Roman" w:hAnsi="Times New Roman" w:cs="Times New Roman"/>
          <w:sz w:val="24"/>
          <w:szCs w:val="24"/>
        </w:rPr>
        <w:t xml:space="preserve">valdes loceklis – </w:t>
      </w:r>
      <w:r>
        <w:rPr>
          <w:rFonts w:ascii="Times New Roman" w:hAnsi="Times New Roman" w:cs="Times New Roman"/>
          <w:color w:val="444444"/>
          <w:sz w:val="24"/>
          <w:szCs w:val="24"/>
          <w:shd w:val="clear" w:color="auto" w:fill="FFFFFF"/>
        </w:rPr>
        <w:t> </w:t>
      </w:r>
      <w:r>
        <w:rPr>
          <w:rFonts w:ascii="Times New Roman" w:hAnsi="Times New Roman" w:cs="Times New Roman"/>
          <w:sz w:val="24"/>
          <w:szCs w:val="24"/>
          <w:shd w:val="clear" w:color="auto" w:fill="FFFFFF"/>
        </w:rPr>
        <w:t>iepirkumu procesu, investīciju projektu, saimnieciskā nodrošinājuma vadība (tai, skaitā IT procesu pārvaldība);</w:t>
      </w:r>
    </w:p>
    <w:p w14:paraId="3DBF4870" w14:textId="77777777" w:rsidR="00213FF3" w:rsidRDefault="00213FF3" w:rsidP="003D2962">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valdes loceklis – </w:t>
      </w:r>
      <w:r>
        <w:rPr>
          <w:rFonts w:ascii="Times New Roman" w:hAnsi="Times New Roman" w:cs="Times New Roman"/>
          <w:sz w:val="24"/>
          <w:szCs w:val="24"/>
          <w:shd w:val="clear" w:color="auto" w:fill="FFFFFF"/>
        </w:rPr>
        <w:t>ārstniecības procesu vadība (galvenais ārsts), tai skaitā medicīnisko pētījumu pārvaldība, ārstniecības kvalitātes procesu uzraudzība un sūdzību izskatīšana.</w:t>
      </w:r>
    </w:p>
    <w:p w14:paraId="6E4AC2E2" w14:textId="77777777" w:rsidR="00213FF3" w:rsidRDefault="00213FF3" w:rsidP="00213FF3">
      <w:pPr>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color w:val="000000"/>
          <w:sz w:val="24"/>
          <w:szCs w:val="24"/>
          <w:lang w:eastAsia="zh-CN"/>
        </w:rPr>
        <w:t>Lai gan ārkārtējā situācija būtiski ietekmēja kapitālsabiedrības plānotās darbības</w:t>
      </w:r>
      <w:r>
        <w:rPr>
          <w:rFonts w:ascii="Times New Roman" w:eastAsia="Calibri" w:hAnsi="Times New Roman" w:cs="Times New Roman"/>
          <w:b/>
          <w:bCs/>
          <w:color w:val="000000"/>
          <w:sz w:val="24"/>
          <w:szCs w:val="24"/>
          <w:u w:val="single"/>
          <w:lang w:eastAsia="zh-CN"/>
        </w:rPr>
        <w:t>,</w:t>
      </w:r>
      <w:r>
        <w:rPr>
          <w:rFonts w:ascii="Times New Roman" w:eastAsia="Calibri" w:hAnsi="Times New Roman" w:cs="Times New Roman"/>
          <w:color w:val="000000"/>
          <w:sz w:val="24"/>
          <w:szCs w:val="24"/>
          <w:lang w:eastAsia="zh-CN"/>
        </w:rPr>
        <w:t xml:space="preserve"> no veselības aprūpes nozarei izvirzītajām </w:t>
      </w:r>
      <w:r w:rsidRPr="00A9528F">
        <w:rPr>
          <w:rFonts w:ascii="Times New Roman" w:eastAsia="Calibri" w:hAnsi="Times New Roman" w:cs="Times New Roman"/>
          <w:color w:val="000000"/>
          <w:sz w:val="24"/>
          <w:szCs w:val="24"/>
          <w:lang w:eastAsia="zh-CN"/>
        </w:rPr>
        <w:t xml:space="preserve">prioritātēm galvenā bija COVID-19 infekcijas izplatības ierobežošana, un, pārskata gada otrajā pusē (proti, ar COVID-19 otro vilni), COVID-19 pacientu ārstēšanas nodrošināšana. Tomēr tika veiktas iestrādes kapitālsabiedrības </w:t>
      </w:r>
      <w:r w:rsidRPr="00A9528F">
        <w:rPr>
          <w:rFonts w:ascii="Times New Roman" w:hAnsi="Times New Roman" w:cs="Times New Roman"/>
          <w:sz w:val="24"/>
          <w:szCs w:val="24"/>
        </w:rPr>
        <w:t>biznesa modeļa attīstībā, lai efektīvāk izmantotu Slimnīcas infrastruktūru un palielinātu veselības aprūpes pakalpojumu apjomu un kvalitāti, kā arī tika izstrādāti</w:t>
      </w:r>
      <w:r>
        <w:rPr>
          <w:rFonts w:ascii="Times New Roman" w:hAnsi="Times New Roman" w:cs="Times New Roman"/>
          <w:sz w:val="24"/>
          <w:szCs w:val="24"/>
        </w:rPr>
        <w:t xml:space="preserve"> priekšlikumi jaunai </w:t>
      </w:r>
      <w:r w:rsidRPr="00A9528F">
        <w:rPr>
          <w:rFonts w:ascii="Times New Roman" w:hAnsi="Times New Roman" w:cs="Times New Roman"/>
          <w:sz w:val="24"/>
          <w:szCs w:val="24"/>
        </w:rPr>
        <w:t xml:space="preserve">pieejai pārvaldības modelim, lai novērstu funkciju dublēšanos un mazinātu uzraudzības </w:t>
      </w:r>
      <w:r w:rsidRPr="00213FF3">
        <w:rPr>
          <w:rFonts w:ascii="Times New Roman" w:hAnsi="Times New Roman" w:cs="Times New Roman"/>
          <w:sz w:val="24"/>
          <w:szCs w:val="24"/>
        </w:rPr>
        <w:t>riskus.</w:t>
      </w:r>
    </w:p>
    <w:p w14:paraId="293F49EA" w14:textId="77777777" w:rsidR="001728A6" w:rsidRPr="00A16BF3" w:rsidRDefault="001728A6" w:rsidP="000E2D46">
      <w:pPr>
        <w:spacing w:after="0" w:line="360" w:lineRule="auto"/>
        <w:ind w:firstLine="567"/>
        <w:jc w:val="both"/>
        <w:rPr>
          <w:rFonts w:ascii="Times New Roman" w:hAnsi="Times New Roman" w:cs="Times New Roman"/>
          <w:sz w:val="24"/>
          <w:szCs w:val="24"/>
        </w:rPr>
      </w:pPr>
    </w:p>
    <w:p w14:paraId="1D516D31" w14:textId="49378226" w:rsidR="00C73403" w:rsidRPr="00E735D4" w:rsidRDefault="00C73403" w:rsidP="00E735D4">
      <w:pPr>
        <w:pStyle w:val="Heading2"/>
        <w:numPr>
          <w:ilvl w:val="1"/>
          <w:numId w:val="4"/>
        </w:numPr>
        <w:ind w:left="426"/>
        <w:rPr>
          <w:rFonts w:ascii="Times New Roman" w:hAnsi="Times New Roman" w:cs="Times New Roman"/>
          <w:b/>
          <w:bCs/>
          <w:sz w:val="24"/>
          <w:szCs w:val="24"/>
        </w:rPr>
      </w:pPr>
      <w:bookmarkStart w:id="4" w:name="_Toc67547262"/>
      <w:r w:rsidRPr="00E735D4">
        <w:rPr>
          <w:rFonts w:ascii="Times New Roman" w:hAnsi="Times New Roman" w:cs="Times New Roman"/>
          <w:b/>
          <w:bCs/>
          <w:sz w:val="24"/>
          <w:szCs w:val="24"/>
        </w:rPr>
        <w:t>Personāla attīstības pasākumi</w:t>
      </w:r>
      <w:bookmarkEnd w:id="4"/>
    </w:p>
    <w:p w14:paraId="77ABAF03" w14:textId="77777777" w:rsidR="00460376" w:rsidRPr="00A16BF3" w:rsidRDefault="00460376" w:rsidP="0048102B">
      <w:pPr>
        <w:pStyle w:val="teksts"/>
        <w:ind w:left="426" w:firstLine="0"/>
      </w:pPr>
      <w:r w:rsidRPr="00A16BF3">
        <w:rPr>
          <w:b/>
        </w:rPr>
        <w:t>Mērķi:</w:t>
      </w:r>
      <w:r w:rsidRPr="00A16BF3">
        <w:t xml:space="preserve"> </w:t>
      </w:r>
    </w:p>
    <w:p w14:paraId="1FBD768B" w14:textId="77777777" w:rsidR="00460376" w:rsidRPr="00A16BF3" w:rsidRDefault="00C73403" w:rsidP="003D2962">
      <w:pPr>
        <w:pStyle w:val="ListParagraph"/>
        <w:numPr>
          <w:ilvl w:val="0"/>
          <w:numId w:val="12"/>
        </w:numPr>
        <w:spacing w:after="0" w:line="360" w:lineRule="auto"/>
        <w:ind w:left="426" w:hanging="425"/>
        <w:jc w:val="both"/>
        <w:rPr>
          <w:rFonts w:ascii="Times New Roman" w:hAnsi="Times New Roman" w:cs="Times New Roman"/>
          <w:i/>
          <w:iCs/>
          <w:sz w:val="24"/>
          <w:szCs w:val="24"/>
          <w:u w:val="single"/>
        </w:rPr>
      </w:pPr>
      <w:r w:rsidRPr="00A16BF3">
        <w:rPr>
          <w:rFonts w:ascii="Times New Roman" w:hAnsi="Times New Roman" w:cs="Times New Roman"/>
          <w:i/>
          <w:iCs/>
          <w:sz w:val="24"/>
          <w:szCs w:val="24"/>
        </w:rPr>
        <w:t xml:space="preserve">Atalgojuma reformas turpināšana: vienotu taisnīgu, caurskatāmu pamatotu atalgojuma principu ieviešana visu ārstniecības struktūru darbiniekiem; </w:t>
      </w:r>
    </w:p>
    <w:p w14:paraId="49DE8ED0" w14:textId="77777777" w:rsidR="00460376" w:rsidRPr="00A16BF3" w:rsidRDefault="00C73403" w:rsidP="003D2962">
      <w:pPr>
        <w:pStyle w:val="ListParagraph"/>
        <w:numPr>
          <w:ilvl w:val="0"/>
          <w:numId w:val="12"/>
        </w:numPr>
        <w:spacing w:after="0" w:line="360" w:lineRule="auto"/>
        <w:ind w:left="426" w:hanging="425"/>
        <w:jc w:val="both"/>
        <w:rPr>
          <w:rFonts w:ascii="Times New Roman" w:hAnsi="Times New Roman" w:cs="Times New Roman"/>
          <w:i/>
          <w:iCs/>
          <w:sz w:val="24"/>
          <w:szCs w:val="24"/>
          <w:u w:val="single"/>
        </w:rPr>
      </w:pPr>
      <w:r w:rsidRPr="00A16BF3">
        <w:rPr>
          <w:rFonts w:ascii="Times New Roman" w:hAnsi="Times New Roman" w:cs="Times New Roman"/>
          <w:i/>
          <w:iCs/>
          <w:sz w:val="24"/>
          <w:szCs w:val="24"/>
        </w:rPr>
        <w:t xml:space="preserve"> Mērķtiecīga nodaļu vadītāju, virsārstu un virsmāsu vadītprasmju attīstīšana;</w:t>
      </w:r>
    </w:p>
    <w:p w14:paraId="208E3E25" w14:textId="77777777" w:rsidR="00460376" w:rsidRPr="00A16BF3" w:rsidRDefault="00C73403" w:rsidP="003D2962">
      <w:pPr>
        <w:pStyle w:val="ListParagraph"/>
        <w:numPr>
          <w:ilvl w:val="0"/>
          <w:numId w:val="12"/>
        </w:numPr>
        <w:spacing w:after="0" w:line="360" w:lineRule="auto"/>
        <w:ind w:left="426" w:hanging="425"/>
        <w:jc w:val="both"/>
        <w:rPr>
          <w:rFonts w:ascii="Times New Roman" w:hAnsi="Times New Roman" w:cs="Times New Roman"/>
          <w:i/>
          <w:iCs/>
          <w:sz w:val="24"/>
          <w:szCs w:val="24"/>
          <w:u w:val="single"/>
        </w:rPr>
      </w:pPr>
      <w:r w:rsidRPr="00A16BF3">
        <w:rPr>
          <w:rFonts w:ascii="Times New Roman" w:hAnsi="Times New Roman" w:cs="Times New Roman"/>
          <w:i/>
          <w:iCs/>
          <w:sz w:val="24"/>
          <w:szCs w:val="24"/>
        </w:rPr>
        <w:t>Sadarbība ar universitātēm un koledžām par personāla piesaisti;</w:t>
      </w:r>
    </w:p>
    <w:p w14:paraId="1041292E" w14:textId="77777777" w:rsidR="006E1898" w:rsidRPr="00A16BF3" w:rsidRDefault="00460376" w:rsidP="003D2962">
      <w:pPr>
        <w:pStyle w:val="ListParagraph"/>
        <w:numPr>
          <w:ilvl w:val="0"/>
          <w:numId w:val="12"/>
        </w:numPr>
        <w:spacing w:after="0" w:line="360" w:lineRule="auto"/>
        <w:ind w:left="426" w:hanging="425"/>
        <w:jc w:val="both"/>
        <w:rPr>
          <w:rFonts w:ascii="Times New Roman" w:hAnsi="Times New Roman" w:cs="Times New Roman"/>
          <w:i/>
          <w:iCs/>
          <w:sz w:val="24"/>
          <w:szCs w:val="24"/>
          <w:u w:val="single"/>
        </w:rPr>
      </w:pPr>
      <w:r w:rsidRPr="00A16BF3">
        <w:rPr>
          <w:rFonts w:ascii="Times New Roman" w:hAnsi="Times New Roman" w:cs="Times New Roman"/>
          <w:i/>
          <w:iCs/>
          <w:sz w:val="24"/>
          <w:szCs w:val="24"/>
        </w:rPr>
        <w:t xml:space="preserve">Māsu amata prestiža veicināšana; </w:t>
      </w:r>
    </w:p>
    <w:p w14:paraId="6FD2BEF7" w14:textId="099F9256" w:rsidR="00460376" w:rsidRPr="00A16BF3" w:rsidRDefault="00460376" w:rsidP="003D2962">
      <w:pPr>
        <w:pStyle w:val="ListParagraph"/>
        <w:numPr>
          <w:ilvl w:val="0"/>
          <w:numId w:val="12"/>
        </w:numPr>
        <w:spacing w:after="0" w:line="360" w:lineRule="auto"/>
        <w:ind w:left="426" w:hanging="425"/>
        <w:jc w:val="both"/>
        <w:rPr>
          <w:rFonts w:ascii="Times New Roman" w:hAnsi="Times New Roman" w:cs="Times New Roman"/>
          <w:i/>
          <w:iCs/>
          <w:sz w:val="24"/>
          <w:szCs w:val="24"/>
          <w:u w:val="single"/>
        </w:rPr>
      </w:pPr>
      <w:r w:rsidRPr="00A16BF3">
        <w:rPr>
          <w:rFonts w:ascii="Times New Roman" w:hAnsi="Times New Roman" w:cs="Times New Roman"/>
          <w:i/>
          <w:iCs/>
          <w:sz w:val="24"/>
          <w:szCs w:val="24"/>
        </w:rPr>
        <w:t>Personāla noslodzes optimizācija</w:t>
      </w:r>
      <w:r w:rsidR="006E1898" w:rsidRPr="00A16BF3">
        <w:rPr>
          <w:rFonts w:ascii="Times New Roman" w:hAnsi="Times New Roman" w:cs="Times New Roman"/>
          <w:i/>
          <w:iCs/>
          <w:sz w:val="24"/>
          <w:szCs w:val="24"/>
        </w:rPr>
        <w:t>;</w:t>
      </w:r>
    </w:p>
    <w:p w14:paraId="3BF8DCC2" w14:textId="75479428" w:rsidR="00C73403" w:rsidRPr="00A16BF3" w:rsidRDefault="00460376" w:rsidP="003D2962">
      <w:pPr>
        <w:pStyle w:val="ListParagraph"/>
        <w:numPr>
          <w:ilvl w:val="0"/>
          <w:numId w:val="12"/>
        </w:numPr>
        <w:spacing w:after="0" w:line="360" w:lineRule="auto"/>
        <w:ind w:left="426" w:hanging="425"/>
        <w:jc w:val="both"/>
        <w:rPr>
          <w:rFonts w:ascii="Times New Roman" w:hAnsi="Times New Roman" w:cs="Times New Roman"/>
          <w:i/>
          <w:iCs/>
          <w:sz w:val="24"/>
          <w:szCs w:val="24"/>
          <w:u w:val="single"/>
        </w:rPr>
      </w:pPr>
      <w:r w:rsidRPr="00A16BF3">
        <w:rPr>
          <w:rFonts w:ascii="Times New Roman" w:hAnsi="Times New Roman" w:cs="Times New Roman"/>
          <w:i/>
          <w:iCs/>
          <w:sz w:val="24"/>
          <w:szCs w:val="24"/>
        </w:rPr>
        <w:t>Papildus labumu</w:t>
      </w:r>
      <w:r w:rsidR="003D2962">
        <w:rPr>
          <w:rFonts w:ascii="Times New Roman" w:hAnsi="Times New Roman" w:cs="Times New Roman"/>
          <w:i/>
          <w:iCs/>
          <w:sz w:val="24"/>
          <w:szCs w:val="24"/>
        </w:rPr>
        <w:t xml:space="preserve"> darbiniekiem</w:t>
      </w:r>
      <w:r w:rsidRPr="00A16BF3">
        <w:rPr>
          <w:rFonts w:ascii="Times New Roman" w:hAnsi="Times New Roman" w:cs="Times New Roman"/>
          <w:i/>
          <w:iCs/>
          <w:sz w:val="24"/>
          <w:szCs w:val="24"/>
        </w:rPr>
        <w:t xml:space="preserve"> nodrošināšana budžeta iespēju robežās</w:t>
      </w:r>
      <w:r w:rsidR="006E1898" w:rsidRPr="00A16BF3">
        <w:rPr>
          <w:rFonts w:ascii="Times New Roman" w:hAnsi="Times New Roman" w:cs="Times New Roman"/>
          <w:i/>
          <w:iCs/>
          <w:sz w:val="24"/>
          <w:szCs w:val="24"/>
        </w:rPr>
        <w:t>.</w:t>
      </w:r>
      <w:r w:rsidR="00C73403" w:rsidRPr="00A16BF3">
        <w:rPr>
          <w:rFonts w:ascii="Times New Roman" w:hAnsi="Times New Roman" w:cs="Times New Roman"/>
          <w:i/>
          <w:iCs/>
          <w:sz w:val="24"/>
          <w:szCs w:val="24"/>
        </w:rPr>
        <w:t xml:space="preserve"> </w:t>
      </w:r>
    </w:p>
    <w:p w14:paraId="3C731FAE" w14:textId="77777777" w:rsidR="006E1898" w:rsidRPr="00A16BF3" w:rsidRDefault="006E1898" w:rsidP="000E2D46">
      <w:pPr>
        <w:suppressAutoHyphens/>
        <w:spacing w:after="0" w:line="360" w:lineRule="auto"/>
        <w:jc w:val="both"/>
        <w:rPr>
          <w:rFonts w:ascii="Times New Roman" w:eastAsia="Calibri" w:hAnsi="Times New Roman" w:cs="Times New Roman"/>
          <w:color w:val="000000"/>
          <w:sz w:val="24"/>
          <w:szCs w:val="24"/>
          <w:lang w:eastAsia="zh-CN"/>
        </w:rPr>
      </w:pPr>
    </w:p>
    <w:p w14:paraId="3BAD01DE" w14:textId="77777777" w:rsidR="00213FF3" w:rsidRPr="00A9528F" w:rsidRDefault="00213FF3" w:rsidP="00213FF3">
      <w:pPr>
        <w:suppressAutoHyphens/>
        <w:spacing w:after="0" w:line="360" w:lineRule="auto"/>
        <w:ind w:firstLine="720"/>
        <w:jc w:val="both"/>
        <w:rPr>
          <w:rFonts w:ascii="Times New Roman" w:hAnsi="Times New Roman" w:cs="Times New Roman"/>
          <w:sz w:val="24"/>
          <w:szCs w:val="24"/>
        </w:rPr>
      </w:pPr>
      <w:bookmarkStart w:id="5" w:name="_Hlk67543882"/>
      <w:r>
        <w:rPr>
          <w:rFonts w:ascii="Times New Roman" w:eastAsia="Calibri" w:hAnsi="Times New Roman" w:cs="Times New Roman"/>
          <w:color w:val="000000"/>
          <w:sz w:val="24"/>
          <w:szCs w:val="24"/>
          <w:lang w:eastAsia="zh-CN"/>
        </w:rPr>
        <w:lastRenderedPageBreak/>
        <w:t xml:space="preserve">Pārskata periodā </w:t>
      </w:r>
      <w:r>
        <w:rPr>
          <w:rFonts w:ascii="Times New Roman" w:hAnsi="Times New Roman" w:cs="Times New Roman"/>
          <w:sz w:val="24"/>
          <w:szCs w:val="24"/>
        </w:rPr>
        <w:t xml:space="preserve">atbilstoši Veselības </w:t>
      </w:r>
      <w:r w:rsidRPr="00A9528F">
        <w:rPr>
          <w:rFonts w:ascii="Times New Roman" w:hAnsi="Times New Roman" w:cs="Times New Roman"/>
          <w:sz w:val="24"/>
          <w:szCs w:val="24"/>
        </w:rPr>
        <w:t xml:space="preserve">ministrijas noteiktajiem atalgojuma veidošanas principiem, norādēm un Kapitālsabiedrības esošajam budžetam, ar atalgojuma komisijas lēmumu (kurā ietilpst arī divi Slimnīcas arordbiedrības  pārstāvji) un ievērojot noteikumos noteiktās prasības, tika palielināts  atalgojums darbiniekiem.  Darbiniekiem, kas bija iesaistīti COVID-19 pacientu ārstēšanā un aprūpē, kā arī saimniecisko jautājumu risināšanā un COVID-19 pandēmijas izraisīto seku novēršanā, tika noteiktas piemaksas, ievērojot Veselības ministrijas rīkojumus par piemaksu apmēru. </w:t>
      </w:r>
    </w:p>
    <w:p w14:paraId="772D7BB6" w14:textId="77777777" w:rsidR="00213FF3" w:rsidRPr="00A9528F" w:rsidRDefault="00213FF3" w:rsidP="00213FF3">
      <w:pPr>
        <w:suppressAutoHyphens/>
        <w:spacing w:after="0" w:line="360" w:lineRule="auto"/>
        <w:ind w:firstLine="720"/>
        <w:jc w:val="both"/>
        <w:rPr>
          <w:rFonts w:ascii="Times New Roman" w:eastAsia="Calibri" w:hAnsi="Times New Roman" w:cs="Times New Roman"/>
          <w:color w:val="000000"/>
          <w:sz w:val="24"/>
          <w:szCs w:val="24"/>
          <w:lang w:eastAsia="zh-CN"/>
        </w:rPr>
      </w:pPr>
      <w:r w:rsidRPr="00A9528F">
        <w:rPr>
          <w:rFonts w:ascii="Times New Roman" w:hAnsi="Times New Roman" w:cs="Times New Roman"/>
          <w:sz w:val="24"/>
          <w:szCs w:val="24"/>
        </w:rPr>
        <w:t xml:space="preserve">Lai gan 2020.gadā bija ieviesti īpaši pakalpojumu sniegšanas nosacījumi, un tie nesniedza patieso ainu par pakalpojumu pieprasījuma un  darbinieku noslodzes korelāciju, tomēr, modelējot iespējamos scenārijus, tika analizēti iespējamie  atalgojuma veidi saistībā ar padarītā darba apjomu. Analīzes rezultātā iegūtā informācija kalpos kā priekšnosacījumi Veselības ministrijas plānotās atalgojuma reformas ieviešanai. </w:t>
      </w:r>
    </w:p>
    <w:p w14:paraId="26EFDBB2" w14:textId="77777777" w:rsidR="00213FF3" w:rsidRPr="00A9528F" w:rsidRDefault="00213FF3" w:rsidP="00213FF3">
      <w:pPr>
        <w:suppressAutoHyphen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Jauno darbinieku piesaistē slimnīca ir izvēlējusies  pieeju – gan personīgi uzrunājot jaunos </w:t>
      </w:r>
      <w:r w:rsidRPr="00A9528F">
        <w:rPr>
          <w:rFonts w:ascii="Times New Roman" w:hAnsi="Times New Roman" w:cs="Times New Roman"/>
          <w:sz w:val="24"/>
          <w:szCs w:val="24"/>
        </w:rPr>
        <w:t>speciālistus un topošos rezidentus (piemēram, ginekologs, dzemdību speciālists, bērnu neirologs, dermatovenerologs) un izsludinot vakances (publicējot mājaslapā, Facebook kontā), kā arī sniedzot informāciju par nepieciešamajiem rezidentiem izvietošanai rezidentūras platformā,  gan iesaistoties jauno speciālistu apmācībā. Šajā nolūkā slimnīcā, sadarbībā ar izglītības iestāžu rezidentūras daļām, tika īstenota 5. un 6.studiju gada medicīnas studentu prakses vietu nodrošināšana (kurai studenti piesakās, ņemot vērā universitātēm iesniegto informāciju par nodrošināmiem cikliem un vienlaicīgi uzņemamo praktikantu skaitu), kā arī praktiskā apmācība jaunajām medicīnas māsām prakses ietvaros. Ģimenes medicīnas rezidentiem nodrošināti atsevišķi reizidentūras cikli (kā piemēram, ķirurģija</w:t>
      </w:r>
      <w:r>
        <w:rPr>
          <w:rFonts w:ascii="Times New Roman" w:hAnsi="Times New Roman" w:cs="Times New Roman"/>
          <w:sz w:val="24"/>
          <w:szCs w:val="24"/>
        </w:rPr>
        <w:t xml:space="preserve">, traumatoloģija, terapija, ginekoloģija un dzemdniecība).  Līdz ar to  apmācību laikā jaunajiem speciālistiem ir iespēja iepazīt Slimnīcas ikdienas darbu, apgūt nepieciešamās praktiskās iemaņas, veicot dažādas manipulācijas sertificētu ārstniecības personu </w:t>
      </w:r>
      <w:r w:rsidRPr="00A9528F">
        <w:rPr>
          <w:rFonts w:ascii="Times New Roman" w:hAnsi="Times New Roman" w:cs="Times New Roman"/>
          <w:sz w:val="24"/>
          <w:szCs w:val="24"/>
        </w:rPr>
        <w:t>uzraudzībā, iepazīt reālās pacientu vajadzības, un pieņemt lēmumu turpināt darbu Slimnīcā arī pēc apmācību pabeigšanas. Lai nodrošinātu rezidentūras vietas nepieciešamajās specialitātes, sniegti priekšlikumi Jēkabpils pilsētas pašvaldībai par atbalstāmo specialitāšu aktuali</w:t>
      </w:r>
      <w:r w:rsidRPr="00A9528F">
        <w:rPr>
          <w:rFonts w:ascii="Times New Roman" w:hAnsi="Times New Roman" w:cs="Times New Roman"/>
          <w:strike/>
          <w:sz w:val="24"/>
          <w:szCs w:val="24"/>
        </w:rPr>
        <w:t>i</w:t>
      </w:r>
      <w:r w:rsidRPr="00A9528F">
        <w:rPr>
          <w:rFonts w:ascii="Times New Roman" w:hAnsi="Times New Roman" w:cs="Times New Roman"/>
          <w:sz w:val="24"/>
          <w:szCs w:val="24"/>
        </w:rPr>
        <w:t>zāciju un papildināšanu gan specialitāšu veidu, gan skaita ziņā (piemēram, traumatologu - ortopēdu speciālistu skaita palielināšana, ginekoloģijas un dzemdību speciālista un zobu higiēnista iekļaušana).</w:t>
      </w:r>
    </w:p>
    <w:p w14:paraId="5ACC08C4" w14:textId="77777777" w:rsidR="00213FF3" w:rsidRPr="00A9528F" w:rsidRDefault="00213FF3" w:rsidP="00213FF3">
      <w:pPr>
        <w:suppressAutoHyphens/>
        <w:spacing w:after="0" w:line="360" w:lineRule="auto"/>
        <w:ind w:firstLine="720"/>
        <w:jc w:val="both"/>
        <w:rPr>
          <w:rFonts w:ascii="Times New Roman" w:eastAsia="Calibri" w:hAnsi="Times New Roman" w:cs="Times New Roman"/>
          <w:color w:val="000000"/>
          <w:sz w:val="24"/>
          <w:szCs w:val="24"/>
          <w:lang w:eastAsia="zh-CN"/>
        </w:rPr>
      </w:pPr>
      <w:r w:rsidRPr="00A9528F">
        <w:rPr>
          <w:rFonts w:ascii="Times New Roman" w:hAnsi="Times New Roman" w:cs="Times New Roman"/>
          <w:sz w:val="24"/>
          <w:szCs w:val="24"/>
        </w:rPr>
        <w:t xml:space="preserve"> </w:t>
      </w:r>
      <w:r w:rsidRPr="00A9528F">
        <w:rPr>
          <w:rFonts w:ascii="Times New Roman" w:eastAsia="Calibri" w:hAnsi="Times New Roman" w:cs="Times New Roman"/>
          <w:color w:val="000000"/>
          <w:sz w:val="24"/>
          <w:szCs w:val="24"/>
          <w:lang w:eastAsia="zh-CN"/>
        </w:rPr>
        <w:t xml:space="preserve">Pārskata periodā </w:t>
      </w:r>
      <w:r w:rsidRPr="00A9528F">
        <w:rPr>
          <w:rFonts w:ascii="Times New Roman" w:hAnsi="Times New Roman" w:cs="Times New Roman"/>
          <w:color w:val="000000"/>
          <w:sz w:val="24"/>
          <w:szCs w:val="24"/>
          <w:lang w:eastAsia="zh-CN"/>
        </w:rPr>
        <w:t>noslēgti trīspusēji līgumi (Sabiedrība, izglītības iestāde un students) par sekojošām studentu praksēm: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709"/>
      </w:tblGrid>
      <w:tr w:rsidR="00456899" w:rsidRPr="000856C8" w14:paraId="3687798C" w14:textId="77777777" w:rsidTr="003D2962">
        <w:trPr>
          <w:jc w:val="center"/>
        </w:trPr>
        <w:tc>
          <w:tcPr>
            <w:tcW w:w="8642" w:type="dxa"/>
            <w:shd w:val="clear" w:color="auto" w:fill="auto"/>
          </w:tcPr>
          <w:bookmarkEnd w:id="5"/>
          <w:p w14:paraId="408D6BF3"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 xml:space="preserve">Māsu veiktie pētījumi saistībā ar bakalaura darbu </w:t>
            </w:r>
          </w:p>
        </w:tc>
        <w:tc>
          <w:tcPr>
            <w:tcW w:w="709" w:type="dxa"/>
            <w:shd w:val="clear" w:color="auto" w:fill="auto"/>
          </w:tcPr>
          <w:p w14:paraId="0C7318B4"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3</w:t>
            </w:r>
          </w:p>
        </w:tc>
      </w:tr>
      <w:tr w:rsidR="00456899" w:rsidRPr="000856C8" w14:paraId="46E01BE6" w14:textId="77777777" w:rsidTr="003D2962">
        <w:trPr>
          <w:jc w:val="center"/>
        </w:trPr>
        <w:tc>
          <w:tcPr>
            <w:tcW w:w="8642" w:type="dxa"/>
            <w:shd w:val="clear" w:color="auto" w:fill="auto"/>
          </w:tcPr>
          <w:p w14:paraId="064EC6A1"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 xml:space="preserve">Vadīta prakse RSU Sabiedrības veselības un sociālās labklājības fakultātes studentiem </w:t>
            </w:r>
          </w:p>
        </w:tc>
        <w:tc>
          <w:tcPr>
            <w:tcW w:w="709" w:type="dxa"/>
            <w:shd w:val="clear" w:color="auto" w:fill="auto"/>
          </w:tcPr>
          <w:p w14:paraId="1726CF01"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4</w:t>
            </w:r>
          </w:p>
        </w:tc>
      </w:tr>
      <w:tr w:rsidR="00456899" w:rsidRPr="000856C8" w14:paraId="02B56C8F" w14:textId="77777777" w:rsidTr="003D2962">
        <w:trPr>
          <w:jc w:val="center"/>
        </w:trPr>
        <w:tc>
          <w:tcPr>
            <w:tcW w:w="8642" w:type="dxa"/>
            <w:shd w:val="clear" w:color="auto" w:fill="auto"/>
          </w:tcPr>
          <w:p w14:paraId="1E9B2BC9"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lastRenderedPageBreak/>
              <w:t xml:space="preserve">Studējošo prakses nodrošināšana LU aģentūra "Latvijas Universitāte P.Stradiņa medicīnas koledža"- māsas </w:t>
            </w:r>
          </w:p>
        </w:tc>
        <w:tc>
          <w:tcPr>
            <w:tcW w:w="709" w:type="dxa"/>
            <w:shd w:val="clear" w:color="auto" w:fill="auto"/>
          </w:tcPr>
          <w:p w14:paraId="41EB80B5"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4</w:t>
            </w:r>
          </w:p>
        </w:tc>
      </w:tr>
      <w:tr w:rsidR="00456899" w:rsidRPr="000856C8" w14:paraId="4520EF48" w14:textId="77777777" w:rsidTr="003D2962">
        <w:trPr>
          <w:jc w:val="center"/>
        </w:trPr>
        <w:tc>
          <w:tcPr>
            <w:tcW w:w="8642" w:type="dxa"/>
            <w:shd w:val="clear" w:color="auto" w:fill="auto"/>
          </w:tcPr>
          <w:p w14:paraId="05126466"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Studējošo prakses nodrošināšana LU aģentūra "Latvijas Universitāte P.Stradiņa medicīnas koledža"- ārsta palīgs</w:t>
            </w:r>
          </w:p>
        </w:tc>
        <w:tc>
          <w:tcPr>
            <w:tcW w:w="709" w:type="dxa"/>
            <w:shd w:val="clear" w:color="auto" w:fill="auto"/>
          </w:tcPr>
          <w:p w14:paraId="2DA2443F"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3</w:t>
            </w:r>
          </w:p>
        </w:tc>
      </w:tr>
      <w:tr w:rsidR="00456899" w:rsidRPr="000856C8" w14:paraId="3819AE9C" w14:textId="77777777" w:rsidTr="003D2962">
        <w:trPr>
          <w:jc w:val="center"/>
        </w:trPr>
        <w:tc>
          <w:tcPr>
            <w:tcW w:w="8642" w:type="dxa"/>
            <w:shd w:val="clear" w:color="auto" w:fill="auto"/>
          </w:tcPr>
          <w:p w14:paraId="1B8875E9"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Studējošo prakse Daugavpils Universitāte - fizioterapeits</w:t>
            </w:r>
            <w:r w:rsidRPr="000856C8">
              <w:rPr>
                <w:rFonts w:ascii="Times New Roman" w:eastAsia="Calibri" w:hAnsi="Times New Roman" w:cs="Times New Roman"/>
              </w:rPr>
              <w:tab/>
            </w:r>
          </w:p>
        </w:tc>
        <w:tc>
          <w:tcPr>
            <w:tcW w:w="709" w:type="dxa"/>
            <w:shd w:val="clear" w:color="auto" w:fill="auto"/>
          </w:tcPr>
          <w:p w14:paraId="5D203838"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5</w:t>
            </w:r>
          </w:p>
        </w:tc>
      </w:tr>
      <w:tr w:rsidR="00456899" w:rsidRPr="000856C8" w14:paraId="1BED049F" w14:textId="77777777" w:rsidTr="003D2962">
        <w:trPr>
          <w:jc w:val="center"/>
        </w:trPr>
        <w:tc>
          <w:tcPr>
            <w:tcW w:w="8642" w:type="dxa"/>
            <w:shd w:val="clear" w:color="auto" w:fill="auto"/>
          </w:tcPr>
          <w:p w14:paraId="4C4C7096"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Studējošo prakse RSU Sarkanā krusta medicīnas koledža- māsas</w:t>
            </w:r>
            <w:r w:rsidRPr="000856C8">
              <w:rPr>
                <w:rFonts w:ascii="Times New Roman" w:eastAsia="Calibri" w:hAnsi="Times New Roman" w:cs="Times New Roman"/>
              </w:rPr>
              <w:tab/>
            </w:r>
          </w:p>
        </w:tc>
        <w:tc>
          <w:tcPr>
            <w:tcW w:w="709" w:type="dxa"/>
            <w:shd w:val="clear" w:color="auto" w:fill="auto"/>
          </w:tcPr>
          <w:p w14:paraId="2B880322"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36</w:t>
            </w:r>
          </w:p>
        </w:tc>
      </w:tr>
      <w:tr w:rsidR="00456899" w:rsidRPr="000856C8" w14:paraId="27309531" w14:textId="77777777" w:rsidTr="003D2962">
        <w:trPr>
          <w:jc w:val="center"/>
        </w:trPr>
        <w:tc>
          <w:tcPr>
            <w:tcW w:w="8642" w:type="dxa"/>
            <w:shd w:val="clear" w:color="auto" w:fill="auto"/>
          </w:tcPr>
          <w:p w14:paraId="6ED7165C"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Studējošo prakse RSU Sarkanā krusta medicīnas koledža- māsu palīgs</w:t>
            </w:r>
          </w:p>
        </w:tc>
        <w:tc>
          <w:tcPr>
            <w:tcW w:w="709" w:type="dxa"/>
            <w:shd w:val="clear" w:color="auto" w:fill="auto"/>
          </w:tcPr>
          <w:p w14:paraId="4C81B604"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2</w:t>
            </w:r>
          </w:p>
        </w:tc>
      </w:tr>
      <w:tr w:rsidR="00456899" w:rsidRPr="000856C8" w14:paraId="7BF3F49B" w14:textId="77777777" w:rsidTr="003D2962">
        <w:trPr>
          <w:jc w:val="center"/>
        </w:trPr>
        <w:tc>
          <w:tcPr>
            <w:tcW w:w="8642" w:type="dxa"/>
            <w:shd w:val="clear" w:color="auto" w:fill="auto"/>
          </w:tcPr>
          <w:p w14:paraId="0DD83532"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Studējošā prakse LU Rīgas 1. medicīnas koledža - māsas</w:t>
            </w:r>
            <w:r w:rsidRPr="000856C8">
              <w:rPr>
                <w:rFonts w:ascii="Times New Roman" w:eastAsia="Calibri" w:hAnsi="Times New Roman" w:cs="Times New Roman"/>
              </w:rPr>
              <w:tab/>
            </w:r>
          </w:p>
        </w:tc>
        <w:tc>
          <w:tcPr>
            <w:tcW w:w="709" w:type="dxa"/>
            <w:shd w:val="clear" w:color="auto" w:fill="auto"/>
          </w:tcPr>
          <w:p w14:paraId="3A7D8213"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12</w:t>
            </w:r>
          </w:p>
        </w:tc>
      </w:tr>
      <w:tr w:rsidR="00456899" w:rsidRPr="000856C8" w14:paraId="35CF1079" w14:textId="77777777" w:rsidTr="003D2962">
        <w:trPr>
          <w:jc w:val="center"/>
        </w:trPr>
        <w:tc>
          <w:tcPr>
            <w:tcW w:w="8642" w:type="dxa"/>
            <w:shd w:val="clear" w:color="auto" w:fill="auto"/>
          </w:tcPr>
          <w:p w14:paraId="58FBD91D"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Studējošā prakse LU Rīgas 1. medicīnas koledža - māsu palīgs</w:t>
            </w:r>
            <w:r w:rsidRPr="000856C8">
              <w:rPr>
                <w:rFonts w:ascii="Times New Roman" w:eastAsia="Calibri" w:hAnsi="Times New Roman" w:cs="Times New Roman"/>
              </w:rPr>
              <w:tab/>
            </w:r>
          </w:p>
        </w:tc>
        <w:tc>
          <w:tcPr>
            <w:tcW w:w="709" w:type="dxa"/>
            <w:shd w:val="clear" w:color="auto" w:fill="auto"/>
          </w:tcPr>
          <w:p w14:paraId="50C522A6"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4</w:t>
            </w:r>
          </w:p>
        </w:tc>
      </w:tr>
      <w:tr w:rsidR="00456899" w:rsidRPr="000856C8" w14:paraId="5FD92E63" w14:textId="77777777" w:rsidTr="003D2962">
        <w:trPr>
          <w:jc w:val="center"/>
        </w:trPr>
        <w:tc>
          <w:tcPr>
            <w:tcW w:w="8642" w:type="dxa"/>
            <w:shd w:val="clear" w:color="auto" w:fill="auto"/>
          </w:tcPr>
          <w:p w14:paraId="63B7C773"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Klīniskā prakse RSU medicīnas 6. kursa studentiem</w:t>
            </w:r>
            <w:r w:rsidRPr="000856C8">
              <w:rPr>
                <w:rFonts w:ascii="Times New Roman" w:eastAsia="Calibri" w:hAnsi="Times New Roman" w:cs="Times New Roman"/>
              </w:rPr>
              <w:tab/>
            </w:r>
          </w:p>
        </w:tc>
        <w:tc>
          <w:tcPr>
            <w:tcW w:w="709" w:type="dxa"/>
            <w:shd w:val="clear" w:color="auto" w:fill="auto"/>
          </w:tcPr>
          <w:p w14:paraId="1C6B6A49"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9</w:t>
            </w:r>
          </w:p>
        </w:tc>
      </w:tr>
      <w:tr w:rsidR="00456899" w:rsidRPr="000856C8" w14:paraId="11AA484B" w14:textId="77777777" w:rsidTr="003D2962">
        <w:trPr>
          <w:jc w:val="center"/>
        </w:trPr>
        <w:tc>
          <w:tcPr>
            <w:tcW w:w="8642" w:type="dxa"/>
            <w:shd w:val="clear" w:color="auto" w:fill="auto"/>
          </w:tcPr>
          <w:p w14:paraId="29D56AD3"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Klīniskā prakse RSU medicīnas 5. kursa studentiem</w:t>
            </w:r>
            <w:r w:rsidRPr="000856C8">
              <w:rPr>
                <w:rFonts w:ascii="Times New Roman" w:eastAsia="Calibri" w:hAnsi="Times New Roman" w:cs="Times New Roman"/>
              </w:rPr>
              <w:tab/>
            </w:r>
          </w:p>
        </w:tc>
        <w:tc>
          <w:tcPr>
            <w:tcW w:w="709" w:type="dxa"/>
            <w:shd w:val="clear" w:color="auto" w:fill="auto"/>
          </w:tcPr>
          <w:p w14:paraId="7B6FF8D7"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6</w:t>
            </w:r>
          </w:p>
        </w:tc>
      </w:tr>
      <w:tr w:rsidR="00456899" w:rsidRPr="000856C8" w14:paraId="4175FF73" w14:textId="77777777" w:rsidTr="003D2962">
        <w:trPr>
          <w:jc w:val="center"/>
        </w:trPr>
        <w:tc>
          <w:tcPr>
            <w:tcW w:w="8642" w:type="dxa"/>
            <w:shd w:val="clear" w:color="auto" w:fill="auto"/>
          </w:tcPr>
          <w:p w14:paraId="4CA42635"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Klīniskā prakse RSU medicīnas 3. kursa studentiem</w:t>
            </w:r>
          </w:p>
        </w:tc>
        <w:tc>
          <w:tcPr>
            <w:tcW w:w="709" w:type="dxa"/>
            <w:shd w:val="clear" w:color="auto" w:fill="auto"/>
          </w:tcPr>
          <w:p w14:paraId="505AAB99"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4</w:t>
            </w:r>
          </w:p>
        </w:tc>
      </w:tr>
      <w:tr w:rsidR="00456899" w:rsidRPr="000856C8" w14:paraId="0213BF70" w14:textId="77777777" w:rsidTr="003D2962">
        <w:trPr>
          <w:jc w:val="center"/>
        </w:trPr>
        <w:tc>
          <w:tcPr>
            <w:tcW w:w="8642" w:type="dxa"/>
            <w:shd w:val="clear" w:color="auto" w:fill="auto"/>
          </w:tcPr>
          <w:p w14:paraId="66D5A3B6"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Profesionālās izglītības prakses nodrošināšana</w:t>
            </w:r>
          </w:p>
        </w:tc>
        <w:tc>
          <w:tcPr>
            <w:tcW w:w="709" w:type="dxa"/>
            <w:shd w:val="clear" w:color="auto" w:fill="auto"/>
          </w:tcPr>
          <w:p w14:paraId="2CF65B27" w14:textId="77777777" w:rsidR="00456899" w:rsidRPr="000856C8" w:rsidRDefault="00456899" w:rsidP="000E2D46">
            <w:pPr>
              <w:spacing w:after="0" w:line="360" w:lineRule="auto"/>
              <w:jc w:val="both"/>
              <w:rPr>
                <w:rFonts w:ascii="Times New Roman" w:eastAsia="Calibri" w:hAnsi="Times New Roman" w:cs="Times New Roman"/>
              </w:rPr>
            </w:pPr>
            <w:r w:rsidRPr="000856C8">
              <w:rPr>
                <w:rFonts w:ascii="Times New Roman" w:eastAsia="Calibri" w:hAnsi="Times New Roman" w:cs="Times New Roman"/>
              </w:rPr>
              <w:t>2</w:t>
            </w:r>
          </w:p>
        </w:tc>
      </w:tr>
    </w:tbl>
    <w:p w14:paraId="35B0C743" w14:textId="59D92C7B" w:rsidR="00E85DDC" w:rsidRPr="00A16BF3" w:rsidRDefault="00E85DDC" w:rsidP="000E2D46">
      <w:pPr>
        <w:suppressAutoHyphens/>
        <w:spacing w:after="0" w:line="360" w:lineRule="auto"/>
        <w:ind w:firstLine="720"/>
        <w:contextualSpacing/>
        <w:jc w:val="both"/>
        <w:rPr>
          <w:rFonts w:ascii="Times New Roman" w:hAnsi="Times New Roman" w:cs="Times New Roman"/>
          <w:sz w:val="24"/>
          <w:szCs w:val="24"/>
        </w:rPr>
      </w:pPr>
    </w:p>
    <w:p w14:paraId="26DEA3D9" w14:textId="77777777" w:rsidR="00213FF3" w:rsidRPr="00A9528F" w:rsidRDefault="00213FF3" w:rsidP="00213FF3">
      <w:pPr>
        <w:suppressAutoHyphen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Kapitālsabiedrība aktīvi atbalsta jauno speciālistu profesionalitātes pilnveidošanas iespējas. Piemēram, ir sniegtas </w:t>
      </w:r>
      <w:r w:rsidRPr="00A9528F">
        <w:rPr>
          <w:rFonts w:ascii="Times New Roman" w:hAnsi="Times New Roman" w:cs="Times New Roman"/>
          <w:sz w:val="24"/>
          <w:szCs w:val="24"/>
        </w:rPr>
        <w:t xml:space="preserve">rekomendācijas profesionālajām asociācijām jauno speciālistu iesaistei efektīvāku diagnostikas un ārstniecības metožu, piemēram elektromiogrāfijas, neirosonoloģijas izmeklējumu metodes un laparoskopisko trūču operāciju metodes apgūšanai 2021.gadā. </w:t>
      </w:r>
    </w:p>
    <w:p w14:paraId="464074B4" w14:textId="77777777" w:rsidR="00213FF3" w:rsidRPr="00A9528F" w:rsidRDefault="00213FF3" w:rsidP="00213FF3">
      <w:pPr>
        <w:suppressAutoHyphens/>
        <w:spacing w:after="0" w:line="360" w:lineRule="auto"/>
        <w:ind w:firstLine="720"/>
        <w:contextualSpacing/>
        <w:jc w:val="both"/>
        <w:rPr>
          <w:rFonts w:ascii="Times New Roman" w:eastAsia="Calibri" w:hAnsi="Times New Roman" w:cs="Times New Roman"/>
          <w:color w:val="000000"/>
          <w:sz w:val="24"/>
          <w:szCs w:val="24"/>
          <w:lang w:eastAsia="zh-CN"/>
        </w:rPr>
      </w:pPr>
      <w:r w:rsidRPr="00A9528F">
        <w:rPr>
          <w:rFonts w:ascii="Times New Roman" w:hAnsi="Times New Roman" w:cs="Times New Roman"/>
          <w:sz w:val="24"/>
          <w:szCs w:val="24"/>
        </w:rPr>
        <w:t>Personāla trūkums, darbinieku darba vietas maiņa vai aiziešana pensijā, it īpaši ārstu trūkums, ir viens no lielākajiem kapitālsabiedrības riskiem veselības aprūpes pakalpojumu sniegšanā, tāpēc šī riska mazināšanai tika nolemts nodrošināt efektīvu paaudžu nomaiņu un nepieciešamo personāla kapacitāti, kas ilgtermiņā nodrošināma ar rezidentu piesaisti (bet kas darbu uzsāks pēc rezidentūras pabeigšanas, atkarībā no specialitātes pēc 4-6 gadiem), kā arī</w:t>
      </w:r>
      <w:r>
        <w:rPr>
          <w:rFonts w:ascii="Times New Roman" w:hAnsi="Times New Roman" w:cs="Times New Roman"/>
          <w:sz w:val="24"/>
          <w:szCs w:val="24"/>
        </w:rPr>
        <w:t xml:space="preserve"> jauno sertificēto speciālistu piesaisti. </w:t>
      </w:r>
      <w:r w:rsidRPr="00A9528F">
        <w:rPr>
          <w:rFonts w:ascii="Times New Roman" w:hAnsi="Times New Roman" w:cs="Times New Roman"/>
          <w:sz w:val="24"/>
          <w:szCs w:val="24"/>
        </w:rPr>
        <w:t xml:space="preserve">Slimnīca ir izvirzījusi mērķi atjaunināt personālu un noteikusi uzdevumu 2020.gadā –  nodrošināt ārstniecības personu īpatsvaru vecuma grupā no 25-45 gadiem ne mazāku par 29,3%, kas tika īstenots. Šajā nolūkā </w:t>
      </w:r>
      <w:r w:rsidRPr="00A9528F">
        <w:rPr>
          <w:rFonts w:ascii="Times New Roman" w:eastAsia="Calibri" w:hAnsi="Times New Roman" w:cs="Times New Roman"/>
          <w:color w:val="000000"/>
          <w:sz w:val="24"/>
          <w:szCs w:val="24"/>
          <w:lang w:eastAsia="zh-CN"/>
        </w:rPr>
        <w:t xml:space="preserve">2020.gadā darbā tika pieņemti 14 jauni speciālisti. Līgumi noslēgti ar vēl sešiem rezidentiem. Uz 2021.gada 1.janvāri kapitālsabiedrības  ārstu vidējais vecums  bija 45,52 gadi (2019.gadā </w:t>
      </w:r>
      <w:r w:rsidRPr="00A9528F">
        <w:rPr>
          <w:rFonts w:ascii="Times New Roman" w:hAnsi="Times New Roman" w:cs="Times New Roman"/>
          <w:color w:val="333333"/>
          <w:sz w:val="24"/>
          <w:szCs w:val="24"/>
          <w:shd w:val="clear" w:color="auto" w:fill="FFFFFF"/>
        </w:rPr>
        <w:t>57,6 gadi)</w:t>
      </w:r>
      <w:r w:rsidRPr="00A9528F">
        <w:rPr>
          <w:rFonts w:ascii="Times New Roman" w:eastAsia="Calibri" w:hAnsi="Times New Roman" w:cs="Times New Roman"/>
          <w:color w:val="000000"/>
          <w:sz w:val="24"/>
          <w:szCs w:val="24"/>
          <w:lang w:eastAsia="zh-CN"/>
        </w:rPr>
        <w:t>.</w:t>
      </w:r>
    </w:p>
    <w:p w14:paraId="31C9F210" w14:textId="77777777" w:rsidR="00213FF3" w:rsidRPr="00A9528F" w:rsidRDefault="00213FF3" w:rsidP="00213FF3">
      <w:pPr>
        <w:suppressAutoHyphens/>
        <w:spacing w:after="0" w:line="360" w:lineRule="auto"/>
        <w:ind w:firstLine="720"/>
        <w:contextualSpacing/>
        <w:jc w:val="both"/>
        <w:rPr>
          <w:rFonts w:ascii="Times New Roman" w:eastAsia="Calibri" w:hAnsi="Times New Roman" w:cs="Times New Roman"/>
          <w:color w:val="000000"/>
          <w:sz w:val="24"/>
          <w:szCs w:val="24"/>
          <w:lang w:eastAsia="zh-CN"/>
        </w:rPr>
      </w:pPr>
      <w:r w:rsidRPr="00A9528F">
        <w:rPr>
          <w:rFonts w:ascii="Times New Roman" w:eastAsia="Calibri" w:hAnsi="Times New Roman" w:cs="Times New Roman"/>
          <w:color w:val="000000"/>
          <w:sz w:val="24"/>
          <w:szCs w:val="24"/>
          <w:lang w:eastAsia="zh-CN"/>
        </w:rPr>
        <w:t xml:space="preserve">Lai piesaistītu un uzrunātu jaunos speciālistus, tiek popularizēta kapitālsabiedrības darbība publiskajos saziņas līdzekļos, veidoti video sižeti sociālajos tīmekļos, regulāri sniegta informācija par vakancēm, kā arī par slimnīcā esošajām un nākotnē iespējamajām profesionālās </w:t>
      </w:r>
      <w:r w:rsidRPr="00A9528F">
        <w:rPr>
          <w:rFonts w:ascii="Times New Roman" w:eastAsia="Calibri" w:hAnsi="Times New Roman" w:cs="Times New Roman"/>
          <w:strike/>
          <w:color w:val="000000"/>
          <w:sz w:val="24"/>
          <w:szCs w:val="24"/>
          <w:lang w:eastAsia="zh-CN"/>
        </w:rPr>
        <w:t>attīstības</w:t>
      </w:r>
      <w:r w:rsidRPr="00A9528F">
        <w:rPr>
          <w:rFonts w:ascii="Times New Roman" w:eastAsia="Calibri" w:hAnsi="Times New Roman" w:cs="Times New Roman"/>
          <w:color w:val="000000"/>
          <w:sz w:val="24"/>
          <w:szCs w:val="24"/>
          <w:lang w:eastAsia="zh-CN"/>
        </w:rPr>
        <w:t xml:space="preserve"> izaugsmes iespējām.</w:t>
      </w:r>
    </w:p>
    <w:p w14:paraId="2B580D08" w14:textId="77777777" w:rsidR="00213FF3" w:rsidRPr="00A9528F" w:rsidRDefault="00213FF3" w:rsidP="00213FF3">
      <w:pPr>
        <w:suppressAutoHyphens/>
        <w:spacing w:after="0" w:line="360" w:lineRule="auto"/>
        <w:ind w:firstLine="720"/>
        <w:contextualSpacing/>
        <w:jc w:val="both"/>
        <w:rPr>
          <w:rFonts w:ascii="Times New Roman" w:eastAsia="Calibri" w:hAnsi="Times New Roman" w:cs="Times New Roman"/>
          <w:sz w:val="24"/>
          <w:szCs w:val="24"/>
          <w:lang w:eastAsia="zh-CN"/>
        </w:rPr>
      </w:pPr>
      <w:r w:rsidRPr="00A9528F">
        <w:rPr>
          <w:rFonts w:ascii="Times New Roman" w:hAnsi="Times New Roman" w:cs="Times New Roman"/>
          <w:sz w:val="24"/>
          <w:szCs w:val="24"/>
        </w:rPr>
        <w:t xml:space="preserve">Lai  apliecinātu māsu darba nozīmīgumu veselības aprūpes pakalpojumu īstenošanā  un prestiža veicināšanā, ikmēneša publiskajos saziņas līdzekļos interviju sniegšanai tiek nozīmeti, ne tikai ārsti, bet arī māsas un farmaceiti. Ikgadējām Jēkabpils pilsētas pašvaldības nominācijām </w:t>
      </w:r>
      <w:r w:rsidRPr="00A9528F">
        <w:rPr>
          <w:rFonts w:ascii="Times New Roman" w:hAnsi="Times New Roman" w:cs="Times New Roman"/>
          <w:sz w:val="24"/>
          <w:szCs w:val="24"/>
        </w:rPr>
        <w:lastRenderedPageBreak/>
        <w:t>18.novembrī – tiek virzīti gan ārsti, gan vidējais un jaunākais medicīniskais personāls, tādejādi paužot un izrādot ārstniecības atbalsta personu (medicīnas māsu, ārsta palīgu, māsu palīgu) nozīmīgumu veselības aprūpes pakalpojumu sniegšanā un aprūpes nodrošināšanā.</w:t>
      </w:r>
    </w:p>
    <w:p w14:paraId="6BF8AEBD" w14:textId="77777777" w:rsidR="00213FF3" w:rsidRPr="00A9528F" w:rsidRDefault="00213FF3" w:rsidP="00213FF3">
      <w:pPr>
        <w:widowControl w:val="0"/>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r w:rsidRPr="00A9528F">
        <w:rPr>
          <w:rFonts w:ascii="Times New Roman" w:hAnsi="Times New Roman" w:cs="Times New Roman"/>
          <w:sz w:val="24"/>
          <w:szCs w:val="24"/>
        </w:rPr>
        <w:t xml:space="preserve">Lai veidotu jauniem speciālistiem motivējošu darba vietu, ir paplašināts pamatdarbā strādājošo darbinieku atbalsts ar pabalsta piešķiršanu stājoties laulībā un sakarā ar bērna piedzimšanu. Personāls tika apsveikts gan starptautiskajā vecmāšu dienā, gan starptautiskajā māsu dienā, kā arī Medicīnas darbinieku dienā, un gada izskaņā tika noorganizēts arī muzikāls pārsteigums. </w:t>
      </w:r>
    </w:p>
    <w:p w14:paraId="67B5FACC" w14:textId="16443A94" w:rsidR="00511238" w:rsidRPr="00A16BF3" w:rsidRDefault="00511238" w:rsidP="000E2D46">
      <w:pPr>
        <w:spacing w:after="0" w:line="360" w:lineRule="auto"/>
        <w:ind w:firstLine="720"/>
        <w:jc w:val="both"/>
        <w:rPr>
          <w:rFonts w:ascii="Times New Roman" w:hAnsi="Times New Roman" w:cs="Times New Roman"/>
          <w:sz w:val="24"/>
          <w:szCs w:val="24"/>
          <w:u w:val="single"/>
        </w:rPr>
      </w:pPr>
    </w:p>
    <w:p w14:paraId="4EEA65FB" w14:textId="3F40DDDB" w:rsidR="00C73403" w:rsidRPr="00E735D4" w:rsidRDefault="00C73403" w:rsidP="00E735D4">
      <w:pPr>
        <w:pStyle w:val="Heading2"/>
        <w:numPr>
          <w:ilvl w:val="1"/>
          <w:numId w:val="4"/>
        </w:numPr>
        <w:ind w:left="426"/>
        <w:rPr>
          <w:rFonts w:ascii="Times New Roman" w:hAnsi="Times New Roman" w:cs="Times New Roman"/>
          <w:b/>
          <w:bCs/>
          <w:sz w:val="24"/>
          <w:szCs w:val="24"/>
        </w:rPr>
      </w:pPr>
      <w:bookmarkStart w:id="6" w:name="_Hlk45706306"/>
      <w:bookmarkStart w:id="7" w:name="_Toc67547263"/>
      <w:r w:rsidRPr="00E735D4">
        <w:rPr>
          <w:rFonts w:ascii="Times New Roman" w:hAnsi="Times New Roman" w:cs="Times New Roman"/>
          <w:b/>
          <w:bCs/>
          <w:sz w:val="24"/>
          <w:szCs w:val="24"/>
        </w:rPr>
        <w:t>Ārstniecības pakalpojumu attīstīšana</w:t>
      </w:r>
      <w:bookmarkEnd w:id="7"/>
    </w:p>
    <w:p w14:paraId="245A1AA6" w14:textId="06F47D63" w:rsidR="00E116B8" w:rsidRPr="00A16BF3" w:rsidRDefault="00E116B8" w:rsidP="00E735D4">
      <w:pPr>
        <w:spacing w:after="0" w:line="360" w:lineRule="auto"/>
        <w:ind w:firstLine="426"/>
        <w:jc w:val="both"/>
        <w:rPr>
          <w:rFonts w:ascii="Times New Roman" w:hAnsi="Times New Roman" w:cs="Times New Roman"/>
          <w:b/>
          <w:bCs/>
          <w:sz w:val="24"/>
          <w:szCs w:val="24"/>
        </w:rPr>
      </w:pPr>
      <w:bookmarkStart w:id="8" w:name="_Hlk45706351"/>
      <w:r w:rsidRPr="00A16BF3">
        <w:rPr>
          <w:rFonts w:ascii="Times New Roman" w:hAnsi="Times New Roman" w:cs="Times New Roman"/>
          <w:b/>
          <w:bCs/>
          <w:sz w:val="24"/>
          <w:szCs w:val="24"/>
        </w:rPr>
        <w:t>Mērķi:</w:t>
      </w:r>
    </w:p>
    <w:p w14:paraId="0CE33F38" w14:textId="3F0B287E" w:rsidR="00E116B8" w:rsidRPr="00A16BF3" w:rsidRDefault="00E116B8" w:rsidP="000856C8">
      <w:pPr>
        <w:pStyle w:val="ListParagraph"/>
        <w:numPr>
          <w:ilvl w:val="0"/>
          <w:numId w:val="11"/>
        </w:numPr>
        <w:spacing w:after="0" w:line="360" w:lineRule="auto"/>
        <w:ind w:left="426" w:hanging="426"/>
        <w:jc w:val="both"/>
        <w:rPr>
          <w:rFonts w:ascii="Times New Roman" w:hAnsi="Times New Roman" w:cs="Times New Roman"/>
          <w:sz w:val="24"/>
          <w:szCs w:val="24"/>
        </w:rPr>
      </w:pPr>
      <w:bookmarkStart w:id="9" w:name="_Hlk45706334"/>
      <w:r w:rsidRPr="00A16BF3">
        <w:rPr>
          <w:rFonts w:ascii="Times New Roman" w:hAnsi="Times New Roman" w:cs="Times New Roman"/>
          <w:bCs/>
          <w:sz w:val="24"/>
          <w:szCs w:val="24"/>
        </w:rPr>
        <w:t>Ieviesti jauni valsts apmaksāti pakalpojumi</w:t>
      </w:r>
      <w:bookmarkEnd w:id="9"/>
    </w:p>
    <w:p w14:paraId="7343E28B" w14:textId="467B73AD" w:rsidR="00FA07B4" w:rsidRPr="00A16BF3" w:rsidRDefault="00C73403" w:rsidP="000856C8">
      <w:pPr>
        <w:pStyle w:val="ListParagraph"/>
        <w:numPr>
          <w:ilvl w:val="0"/>
          <w:numId w:val="11"/>
        </w:numPr>
        <w:spacing w:after="0" w:line="360" w:lineRule="auto"/>
        <w:ind w:left="426" w:hanging="426"/>
        <w:jc w:val="both"/>
        <w:rPr>
          <w:rFonts w:ascii="Times New Roman" w:hAnsi="Times New Roman" w:cs="Times New Roman"/>
          <w:sz w:val="24"/>
          <w:szCs w:val="24"/>
        </w:rPr>
      </w:pPr>
      <w:r w:rsidRPr="00A16BF3">
        <w:rPr>
          <w:rFonts w:ascii="Times New Roman" w:hAnsi="Times New Roman" w:cs="Times New Roman"/>
          <w:sz w:val="24"/>
          <w:szCs w:val="24"/>
        </w:rPr>
        <w:t>Artroskopisko operāciju attīstība</w:t>
      </w:r>
      <w:bookmarkEnd w:id="8"/>
    </w:p>
    <w:p w14:paraId="20D65EEB" w14:textId="77777777" w:rsidR="00FA07B4" w:rsidRPr="00A16BF3" w:rsidRDefault="00FA07B4" w:rsidP="000856C8">
      <w:pPr>
        <w:pStyle w:val="ListParagraph"/>
        <w:numPr>
          <w:ilvl w:val="0"/>
          <w:numId w:val="11"/>
        </w:numPr>
        <w:spacing w:after="0" w:line="360" w:lineRule="auto"/>
        <w:ind w:left="426" w:hanging="426"/>
        <w:jc w:val="both"/>
        <w:rPr>
          <w:rFonts w:ascii="Times New Roman" w:hAnsi="Times New Roman" w:cs="Times New Roman"/>
          <w:b/>
          <w:bCs/>
          <w:sz w:val="24"/>
          <w:szCs w:val="24"/>
        </w:rPr>
      </w:pPr>
      <w:r w:rsidRPr="00A16BF3">
        <w:rPr>
          <w:rFonts w:ascii="Times New Roman" w:hAnsi="Times New Roman" w:cs="Times New Roman"/>
          <w:sz w:val="24"/>
          <w:szCs w:val="24"/>
        </w:rPr>
        <w:t>Rehabilitācijas pakalpojuma pieejamības uzlabošana</w:t>
      </w:r>
    </w:p>
    <w:p w14:paraId="5DD5EE6A" w14:textId="77777777" w:rsidR="00FA07B4" w:rsidRPr="00A16BF3" w:rsidRDefault="00FA07B4" w:rsidP="000856C8">
      <w:pPr>
        <w:pStyle w:val="ListParagraph"/>
        <w:numPr>
          <w:ilvl w:val="0"/>
          <w:numId w:val="11"/>
        </w:numPr>
        <w:spacing w:after="0" w:line="360" w:lineRule="auto"/>
        <w:ind w:left="426" w:hanging="426"/>
        <w:jc w:val="both"/>
        <w:rPr>
          <w:rFonts w:ascii="Times New Roman" w:hAnsi="Times New Roman" w:cs="Times New Roman"/>
          <w:b/>
          <w:bCs/>
          <w:sz w:val="24"/>
          <w:szCs w:val="24"/>
        </w:rPr>
      </w:pPr>
      <w:r w:rsidRPr="00A16BF3">
        <w:rPr>
          <w:rFonts w:ascii="Times New Roman" w:hAnsi="Times New Roman" w:cs="Times New Roman"/>
          <w:sz w:val="24"/>
          <w:szCs w:val="24"/>
        </w:rPr>
        <w:t>Infekciju uzraudzības attīstīšana</w:t>
      </w:r>
    </w:p>
    <w:p w14:paraId="486EE7FE" w14:textId="77777777" w:rsidR="00FA07B4" w:rsidRPr="00A16BF3" w:rsidRDefault="00FA07B4" w:rsidP="000856C8">
      <w:pPr>
        <w:pStyle w:val="ListParagraph"/>
        <w:numPr>
          <w:ilvl w:val="0"/>
          <w:numId w:val="11"/>
        </w:numPr>
        <w:spacing w:after="0" w:line="360" w:lineRule="auto"/>
        <w:ind w:left="426" w:hanging="426"/>
        <w:jc w:val="both"/>
        <w:rPr>
          <w:rFonts w:ascii="Times New Roman" w:hAnsi="Times New Roman" w:cs="Times New Roman"/>
          <w:b/>
          <w:bCs/>
          <w:sz w:val="24"/>
          <w:szCs w:val="24"/>
        </w:rPr>
      </w:pPr>
      <w:r w:rsidRPr="00A16BF3">
        <w:rPr>
          <w:rFonts w:ascii="Times New Roman" w:hAnsi="Times New Roman" w:cs="Times New Roman"/>
          <w:sz w:val="24"/>
          <w:szCs w:val="24"/>
        </w:rPr>
        <w:t>Maksas pakalpojumu attīstība</w:t>
      </w:r>
    </w:p>
    <w:p w14:paraId="61C6C7B3" w14:textId="77777777" w:rsidR="00FA07B4" w:rsidRPr="00A16BF3" w:rsidRDefault="00FA07B4" w:rsidP="000856C8">
      <w:pPr>
        <w:pStyle w:val="ListParagraph"/>
        <w:numPr>
          <w:ilvl w:val="0"/>
          <w:numId w:val="11"/>
        </w:numPr>
        <w:spacing w:after="0" w:line="360" w:lineRule="auto"/>
        <w:ind w:left="426" w:hanging="426"/>
        <w:jc w:val="both"/>
        <w:rPr>
          <w:rFonts w:ascii="Times New Roman" w:hAnsi="Times New Roman" w:cs="Times New Roman"/>
          <w:sz w:val="24"/>
          <w:szCs w:val="24"/>
        </w:rPr>
      </w:pPr>
      <w:r w:rsidRPr="00A16BF3">
        <w:rPr>
          <w:rFonts w:ascii="Times New Roman" w:hAnsi="Times New Roman" w:cs="Times New Roman"/>
          <w:sz w:val="24"/>
          <w:szCs w:val="24"/>
        </w:rPr>
        <w:t>Zinātniskās un pētniecības darbības attīstība</w:t>
      </w:r>
    </w:p>
    <w:bookmarkEnd w:id="6"/>
    <w:p w14:paraId="41921B01" w14:textId="77777777" w:rsidR="00213FF3" w:rsidRPr="00A9528F" w:rsidRDefault="00213FF3" w:rsidP="00213FF3">
      <w:pPr>
        <w:spacing w:after="0" w:line="360" w:lineRule="auto"/>
        <w:jc w:val="both"/>
        <w:rPr>
          <w:rFonts w:ascii="Times New Roman" w:hAnsi="Times New Roman" w:cs="Times New Roman"/>
          <w:bCs/>
          <w:sz w:val="24"/>
          <w:szCs w:val="24"/>
        </w:rPr>
      </w:pPr>
      <w:r w:rsidRPr="00A9528F">
        <w:rPr>
          <w:rFonts w:ascii="Times New Roman" w:hAnsi="Times New Roman" w:cs="Times New Roman"/>
          <w:bCs/>
          <w:sz w:val="24"/>
          <w:szCs w:val="24"/>
        </w:rPr>
        <w:t>Kā izpildes pārskata ievadā tika aktualizēts, būtisku ietekmi un korekcijas ārstniecības pakalpojumu attīstībā 2020.gadā ieviesa COVID-19 pandēmija un ārkārtas situācijas izsludināšana divas reizes viena gada laikā.</w:t>
      </w:r>
    </w:p>
    <w:p w14:paraId="1D22C251" w14:textId="77777777" w:rsidR="00213FF3" w:rsidRPr="003D2962" w:rsidRDefault="00213FF3" w:rsidP="00213FF3">
      <w:pPr>
        <w:spacing w:after="0" w:line="360" w:lineRule="auto"/>
        <w:jc w:val="both"/>
        <w:rPr>
          <w:rFonts w:ascii="Times New Roman" w:hAnsi="Times New Roman" w:cs="Times New Roman"/>
          <w:i/>
          <w:iCs/>
          <w:sz w:val="16"/>
          <w:szCs w:val="16"/>
        </w:rPr>
      </w:pPr>
    </w:p>
    <w:p w14:paraId="598565CE" w14:textId="76CA4148" w:rsidR="00213FF3" w:rsidRPr="00E735D4" w:rsidRDefault="00E735D4" w:rsidP="00E735D4">
      <w:pPr>
        <w:pStyle w:val="Heading3"/>
        <w:rPr>
          <w:rFonts w:ascii="Times New Roman" w:hAnsi="Times New Roman" w:cs="Times New Roman"/>
          <w:i/>
          <w:iCs/>
        </w:rPr>
      </w:pPr>
      <w:bookmarkStart w:id="10" w:name="_Toc67547264"/>
      <w:r>
        <w:rPr>
          <w:rFonts w:ascii="Times New Roman" w:hAnsi="Times New Roman" w:cs="Times New Roman"/>
          <w:i/>
          <w:iCs/>
        </w:rPr>
        <w:t xml:space="preserve">1.3.1. </w:t>
      </w:r>
      <w:r w:rsidR="00213FF3" w:rsidRPr="00E735D4">
        <w:rPr>
          <w:rFonts w:ascii="Times New Roman" w:hAnsi="Times New Roman" w:cs="Times New Roman"/>
          <w:i/>
          <w:iCs/>
        </w:rPr>
        <w:t>Jauni valsts apmaksātie pakalpojumi, artroskopisko operāciju attīstība un maksas pakalpojumu attīstība</w:t>
      </w:r>
      <w:bookmarkEnd w:id="10"/>
    </w:p>
    <w:p w14:paraId="6D9F7B81" w14:textId="77777777" w:rsidR="00213FF3" w:rsidRPr="00A9528F" w:rsidRDefault="00213FF3" w:rsidP="00213FF3">
      <w:pPr>
        <w:shd w:val="clear" w:color="auto" w:fill="FFFFFF"/>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2020.gadā, lai attīstītu </w:t>
      </w:r>
      <w:r w:rsidRPr="00A9528F">
        <w:rPr>
          <w:rFonts w:ascii="Times New Roman" w:hAnsi="Times New Roman" w:cs="Times New Roman"/>
          <w:sz w:val="24"/>
          <w:szCs w:val="24"/>
          <w:shd w:val="clear" w:color="auto" w:fill="FFFFFF"/>
        </w:rPr>
        <w:t xml:space="preserve">mazinvazīvo operāciju un izmeklējumu veikšanu,  ar Jēkabpils pilsētas pašvaldības atbalstu tika  iegādāta  lāzerierīce,  kas paredzēta dažādu urīnceļu akmeņu endoskopiskai skaldīšanai, </w:t>
      </w:r>
      <w:r w:rsidRPr="00A9528F">
        <w:rPr>
          <w:rFonts w:ascii="Times New Roman" w:hAnsi="Times New Roman" w:cs="Times New Roman"/>
          <w:color w:val="444444"/>
          <w:sz w:val="24"/>
          <w:szCs w:val="24"/>
          <w:shd w:val="clear" w:color="auto" w:fill="FFFFFF"/>
        </w:rPr>
        <w:t xml:space="preserve">kas samazina </w:t>
      </w:r>
      <w:r w:rsidRPr="00A9528F">
        <w:rPr>
          <w:rFonts w:ascii="Times New Roman" w:hAnsi="Times New Roman" w:cs="Times New Roman"/>
          <w:sz w:val="24"/>
          <w:szCs w:val="24"/>
          <w:shd w:val="clear" w:color="auto" w:fill="FFFFFF"/>
        </w:rPr>
        <w:t>slimnīcā pavadīto gultas dienu skaitu, iespējamo sarežģījumu smaguma pakāpi un to skaitu, samazinot pacientam sāpju sindromu un saīsinot rehabilitācijas laiku pēc procedūras. Tāpat tika iegādāta ultrasonogrāfijas iekārta, kas paredzēta diagnostiskās ultraskaņas attēlu vai šķidruma kolekciju izvērtēšanai cilvēka organismā, datu apstrādei, kā arī punkciju un biopsiju vadībai, izmantojot to sekojošās specialitātēs:</w:t>
      </w:r>
    </w:p>
    <w:p w14:paraId="1A5204BE" w14:textId="77777777" w:rsidR="00213FF3" w:rsidRDefault="00213FF3" w:rsidP="00213FF3">
      <w:pPr>
        <w:numPr>
          <w:ilvl w:val="0"/>
          <w:numId w:val="1"/>
        </w:num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Uroloģijā;</w:t>
      </w:r>
    </w:p>
    <w:p w14:paraId="578CB0AF" w14:textId="77777777" w:rsidR="00213FF3" w:rsidRDefault="00213FF3" w:rsidP="00213FF3">
      <w:pPr>
        <w:numPr>
          <w:ilvl w:val="0"/>
          <w:numId w:val="1"/>
        </w:num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Ķirurģijā;</w:t>
      </w:r>
    </w:p>
    <w:p w14:paraId="4B63043D" w14:textId="77777777" w:rsidR="00213FF3" w:rsidRDefault="00213FF3" w:rsidP="00213FF3">
      <w:pPr>
        <w:numPr>
          <w:ilvl w:val="0"/>
          <w:numId w:val="1"/>
        </w:num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Kardioloģijā;</w:t>
      </w:r>
    </w:p>
    <w:p w14:paraId="30A669C2" w14:textId="77777777" w:rsidR="00213FF3" w:rsidRDefault="00213FF3" w:rsidP="00213FF3">
      <w:pPr>
        <w:numPr>
          <w:ilvl w:val="0"/>
          <w:numId w:val="1"/>
        </w:num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Ginekoloģijā;</w:t>
      </w:r>
    </w:p>
    <w:p w14:paraId="7B3409E5" w14:textId="77777777" w:rsidR="00213FF3" w:rsidRDefault="00213FF3" w:rsidP="00213FF3">
      <w:pPr>
        <w:numPr>
          <w:ilvl w:val="0"/>
          <w:numId w:val="1"/>
        </w:num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Neatliekamajā medicīnā;</w:t>
      </w:r>
    </w:p>
    <w:p w14:paraId="166C8EE7" w14:textId="77777777" w:rsidR="00213FF3" w:rsidRDefault="00213FF3" w:rsidP="00213FF3">
      <w:pPr>
        <w:numPr>
          <w:ilvl w:val="0"/>
          <w:numId w:val="1"/>
        </w:numPr>
        <w:shd w:val="clear" w:color="auto" w:fill="FFFFFF"/>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Anestezioloģijā.</w:t>
      </w:r>
    </w:p>
    <w:p w14:paraId="5DB2FF5F" w14:textId="77777777" w:rsidR="00213FF3" w:rsidRPr="00A9528F" w:rsidRDefault="00213FF3" w:rsidP="003D2962">
      <w:pPr>
        <w:suppressAutoHyphens/>
        <w:spacing w:after="0" w:line="360" w:lineRule="auto"/>
        <w:ind w:firstLine="426"/>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 xml:space="preserve">Tika iegādāta jauna iekārta  - </w:t>
      </w:r>
      <w:r w:rsidRPr="00A9528F">
        <w:rPr>
          <w:rFonts w:ascii="Times New Roman" w:eastAsia="Calibri" w:hAnsi="Times New Roman" w:cs="Times New Roman"/>
          <w:color w:val="000000"/>
          <w:sz w:val="24"/>
          <w:szCs w:val="24"/>
          <w:lang w:eastAsia="zh-CN"/>
        </w:rPr>
        <w:t>dermatoloģiskais lāzers (ambulatorajā daļā), kas ļauj sniegt pacientiem jaunu pakalpojumu</w:t>
      </w:r>
      <w:r w:rsidRPr="00A9528F">
        <w:rPr>
          <w:rFonts w:ascii="Times New Roman" w:eastAsia="Times New Roman" w:hAnsi="Times New Roman" w:cs="Times New Roman"/>
          <w:sz w:val="24"/>
          <w:szCs w:val="24"/>
          <w:lang w:eastAsia="en-GB"/>
        </w:rPr>
        <w:t xml:space="preserve">  - ādas veidojumu likvidēšanu</w:t>
      </w:r>
      <w:r w:rsidRPr="00A9528F">
        <w:rPr>
          <w:rFonts w:ascii="Times New Roman" w:eastAsia="Calibri" w:hAnsi="Times New Roman" w:cs="Times New Roman"/>
          <w:color w:val="000000"/>
          <w:sz w:val="24"/>
          <w:szCs w:val="24"/>
          <w:lang w:eastAsia="zh-CN"/>
        </w:rPr>
        <w:t xml:space="preserve">. Tā ir jauna metode, kas </w:t>
      </w:r>
      <w:r w:rsidRPr="00A9528F">
        <w:rPr>
          <w:rFonts w:ascii="Times New Roman" w:eastAsia="Calibri" w:hAnsi="Times New Roman" w:cs="Times New Roman"/>
          <w:strike/>
          <w:color w:val="000000"/>
          <w:sz w:val="24"/>
          <w:szCs w:val="24"/>
          <w:lang w:eastAsia="zh-CN"/>
        </w:rPr>
        <w:t xml:space="preserve">un </w:t>
      </w:r>
      <w:r w:rsidRPr="00A9528F">
        <w:rPr>
          <w:rFonts w:ascii="Times New Roman" w:eastAsia="Calibri" w:hAnsi="Times New Roman" w:cs="Times New Roman"/>
          <w:color w:val="000000"/>
          <w:sz w:val="24"/>
          <w:szCs w:val="24"/>
          <w:lang w:eastAsia="zh-CN"/>
        </w:rPr>
        <w:t>ir iekļauta arī valsts apmaksāto pakalpojumu klāstā.</w:t>
      </w:r>
    </w:p>
    <w:p w14:paraId="36FBB5FB" w14:textId="77777777" w:rsidR="00213FF3" w:rsidRPr="00A9528F" w:rsidRDefault="00213FF3" w:rsidP="003D2962">
      <w:pPr>
        <w:suppressAutoHyphens/>
        <w:spacing w:after="0" w:line="360" w:lineRule="auto"/>
        <w:ind w:firstLine="426"/>
        <w:contextualSpacing/>
        <w:jc w:val="both"/>
        <w:rPr>
          <w:rFonts w:ascii="Times New Roman" w:eastAsia="Calibri" w:hAnsi="Times New Roman" w:cs="Times New Roman"/>
          <w:color w:val="000000"/>
          <w:sz w:val="24"/>
          <w:szCs w:val="24"/>
          <w:lang w:eastAsia="zh-CN"/>
        </w:rPr>
      </w:pPr>
      <w:r w:rsidRPr="00A9528F">
        <w:rPr>
          <w:rFonts w:ascii="Times New Roman" w:eastAsia="Times New Roman" w:hAnsi="Times New Roman" w:cs="Times New Roman"/>
          <w:sz w:val="24"/>
          <w:szCs w:val="24"/>
          <w:lang w:eastAsia="en-GB"/>
        </w:rPr>
        <w:t xml:space="preserve">Zobārstniecības pakalpojumu kvalitātes uzlabošanai ir iegādāta jauna iekārta. </w:t>
      </w:r>
      <w:r w:rsidRPr="00A9528F">
        <w:rPr>
          <w:rFonts w:ascii="Times New Roman" w:eastAsia="Calibri" w:hAnsi="Times New Roman" w:cs="Times New Roman"/>
          <w:color w:val="000000"/>
          <w:sz w:val="24"/>
          <w:szCs w:val="24"/>
          <w:lang w:eastAsia="zh-CN"/>
        </w:rPr>
        <w:t>Jaunā iekārta atbilst visām kvalitātes prasībām</w:t>
      </w:r>
      <w:r w:rsidRPr="00A9528F">
        <w:rPr>
          <w:rFonts w:ascii="Times New Roman" w:eastAsia="Calibri" w:hAnsi="Times New Roman" w:cs="Times New Roman"/>
          <w:strike/>
          <w:color w:val="000000"/>
          <w:sz w:val="24"/>
          <w:szCs w:val="24"/>
          <w:lang w:eastAsia="zh-CN"/>
        </w:rPr>
        <w:t>, tostarp,</w:t>
      </w:r>
      <w:r w:rsidRPr="00A9528F">
        <w:rPr>
          <w:rFonts w:ascii="Times New Roman" w:eastAsia="Calibri" w:hAnsi="Times New Roman" w:cs="Times New Roman"/>
          <w:color w:val="000000"/>
          <w:sz w:val="24"/>
          <w:szCs w:val="24"/>
          <w:lang w:eastAsia="zh-CN"/>
        </w:rPr>
        <w:t xml:space="preserve"> un iekļauj arī amalgamas separatoru, kas ir obligāti jānodrošina.</w:t>
      </w:r>
    </w:p>
    <w:p w14:paraId="7181292F" w14:textId="77777777" w:rsidR="00213FF3" w:rsidRPr="00A9528F" w:rsidRDefault="00213FF3" w:rsidP="003D2962">
      <w:pPr>
        <w:spacing w:after="0" w:line="360" w:lineRule="auto"/>
        <w:ind w:firstLine="426"/>
        <w:jc w:val="both"/>
        <w:rPr>
          <w:rFonts w:ascii="Times New Roman" w:eastAsia="Times New Roman" w:hAnsi="Times New Roman" w:cs="Times New Roman"/>
          <w:sz w:val="24"/>
          <w:szCs w:val="24"/>
          <w:lang w:eastAsia="en-GB"/>
        </w:rPr>
      </w:pPr>
      <w:r w:rsidRPr="00A9528F">
        <w:rPr>
          <w:rFonts w:ascii="Times New Roman" w:eastAsia="Times New Roman" w:hAnsi="Times New Roman" w:cs="Times New Roman"/>
          <w:sz w:val="24"/>
          <w:szCs w:val="24"/>
          <w:lang w:eastAsia="en-GB"/>
        </w:rPr>
        <w:t>Saistībā ar COVID-19 pandēmiju un ar COVID-19 saslimušo pacientu skaita pieaugumu, slimnīcā tika nodrošināts jauns virziens infektoloģijā – COVID-19 pacientu (gan ar vidēji smagu, gan smagu slimības gaitu) ārstēšana.</w:t>
      </w:r>
    </w:p>
    <w:p w14:paraId="0315E976" w14:textId="77777777" w:rsidR="00213FF3" w:rsidRPr="00A9528F" w:rsidRDefault="00213FF3" w:rsidP="003D2962">
      <w:pPr>
        <w:spacing w:after="0" w:line="360" w:lineRule="auto"/>
        <w:ind w:firstLine="426"/>
        <w:jc w:val="both"/>
        <w:rPr>
          <w:rFonts w:ascii="Times New Roman" w:eastAsia="Calibri" w:hAnsi="Times New Roman" w:cs="Times New Roman"/>
          <w:sz w:val="24"/>
          <w:szCs w:val="24"/>
          <w:lang w:eastAsia="zh-CN"/>
        </w:rPr>
      </w:pPr>
      <w:r w:rsidRPr="00A9528F">
        <w:rPr>
          <w:rFonts w:ascii="Times New Roman" w:eastAsia="Calibri" w:hAnsi="Times New Roman" w:cs="Times New Roman"/>
          <w:sz w:val="24"/>
          <w:szCs w:val="24"/>
          <w:lang w:eastAsia="zh-CN"/>
        </w:rPr>
        <w:t xml:space="preserve">Aktualizējot traumatoloģijas nozares attīstības nepieciešamību un tās prioritāti </w:t>
      </w:r>
      <w:r w:rsidRPr="00A9528F">
        <w:rPr>
          <w:rFonts w:ascii="Times New Roman" w:eastAsia="Calibri" w:hAnsi="Times New Roman" w:cs="Times New Roman"/>
          <w:strike/>
          <w:sz w:val="24"/>
          <w:szCs w:val="24"/>
          <w:lang w:eastAsia="zh-CN"/>
        </w:rPr>
        <w:t>arī</w:t>
      </w:r>
      <w:r w:rsidRPr="00A9528F">
        <w:rPr>
          <w:rFonts w:ascii="Times New Roman" w:eastAsia="Calibri" w:hAnsi="Times New Roman" w:cs="Times New Roman"/>
          <w:sz w:val="24"/>
          <w:szCs w:val="24"/>
          <w:lang w:eastAsia="zh-CN"/>
        </w:rPr>
        <w:t xml:space="preserve"> atbilstošu reģionālās slimnīcas līmeņa prasībām, un vadoties no kapitālsabiedrības stratēģiskās atrašanās vietas, Jēkabpils pilsētas pašvaldībā tika iesniegta iniciatīva par traumatoloģijas nozares attīstību. Ar Jēkabpils pilsētas pašvaldības deputātu vienbalsīgu lēmumu 2021.gada budžetā tika piešķirts finansējums apmērā līdz 40 000 EUR traumatoloģijas instrumentu iegādei. Tiks iegādāti spēka</w:t>
      </w:r>
      <w:r>
        <w:rPr>
          <w:rFonts w:ascii="Times New Roman" w:eastAsia="Calibri" w:hAnsi="Times New Roman" w:cs="Times New Roman"/>
          <w:sz w:val="24"/>
          <w:szCs w:val="24"/>
          <w:lang w:eastAsia="zh-CN"/>
        </w:rPr>
        <w:t xml:space="preserve"> un ievades</w:t>
      </w:r>
      <w:r w:rsidRPr="00A9528F">
        <w:rPr>
          <w:rFonts w:ascii="Times New Roman" w:eastAsia="Calibri" w:hAnsi="Times New Roman" w:cs="Times New Roman"/>
          <w:sz w:val="24"/>
          <w:szCs w:val="24"/>
          <w:lang w:eastAsia="zh-CN"/>
        </w:rPr>
        <w:t xml:space="preserve"> instrumenti</w:t>
      </w:r>
      <w:r>
        <w:rPr>
          <w:rFonts w:ascii="Times New Roman" w:eastAsia="Calibri" w:hAnsi="Times New Roman" w:cs="Times New Roman"/>
          <w:sz w:val="24"/>
          <w:szCs w:val="24"/>
          <w:lang w:eastAsia="zh-CN"/>
        </w:rPr>
        <w:t xml:space="preserve"> osteosintēžu veikšanai. Spēka instrumentu</w:t>
      </w:r>
      <w:r w:rsidRPr="00A9528F">
        <w:rPr>
          <w:rFonts w:ascii="Times New Roman" w:eastAsia="Calibri" w:hAnsi="Times New Roman" w:cs="Times New Roman"/>
          <w:sz w:val="24"/>
          <w:szCs w:val="24"/>
          <w:lang w:eastAsia="zh-CN"/>
        </w:rPr>
        <w:t>, papildinot ar speciāliem uzgaļiem, varēs izmantot endoprotezēšanas operācijām, kas līdz šim Slimnīcā netika veiktas.</w:t>
      </w:r>
    </w:p>
    <w:p w14:paraId="7AAA113B" w14:textId="77777777" w:rsidR="00213FF3" w:rsidRDefault="00213FF3" w:rsidP="00213FF3">
      <w:pPr>
        <w:spacing w:after="0" w:line="360" w:lineRule="auto"/>
        <w:jc w:val="both"/>
        <w:rPr>
          <w:rFonts w:ascii="Times New Roman" w:hAnsi="Times New Roman" w:cs="Times New Roman"/>
          <w:i/>
          <w:iCs/>
          <w:sz w:val="24"/>
          <w:szCs w:val="24"/>
        </w:rPr>
      </w:pPr>
    </w:p>
    <w:p w14:paraId="6963FB92" w14:textId="373845D1" w:rsidR="00213FF3" w:rsidRPr="00E735D4" w:rsidRDefault="00E735D4" w:rsidP="00E735D4">
      <w:pPr>
        <w:pStyle w:val="Heading3"/>
        <w:rPr>
          <w:rFonts w:ascii="Times New Roman" w:hAnsi="Times New Roman" w:cs="Times New Roman"/>
          <w:i/>
          <w:iCs/>
        </w:rPr>
      </w:pPr>
      <w:bookmarkStart w:id="11" w:name="_Toc67547265"/>
      <w:r w:rsidRPr="00E735D4">
        <w:rPr>
          <w:rFonts w:ascii="Times New Roman" w:hAnsi="Times New Roman" w:cs="Times New Roman"/>
          <w:i/>
          <w:iCs/>
        </w:rPr>
        <w:t xml:space="preserve">1.3.2. </w:t>
      </w:r>
      <w:r w:rsidR="00213FF3" w:rsidRPr="00E735D4">
        <w:rPr>
          <w:rFonts w:ascii="Times New Roman" w:hAnsi="Times New Roman" w:cs="Times New Roman"/>
          <w:i/>
          <w:iCs/>
        </w:rPr>
        <w:t>Rehabilitācijas pakalpojuma pieejamības uzlabošana</w:t>
      </w:r>
      <w:bookmarkEnd w:id="11"/>
      <w:r w:rsidR="00213FF3" w:rsidRPr="00E735D4">
        <w:rPr>
          <w:rFonts w:ascii="Times New Roman" w:hAnsi="Times New Roman" w:cs="Times New Roman"/>
          <w:i/>
          <w:iCs/>
        </w:rPr>
        <w:t xml:space="preserve"> </w:t>
      </w:r>
    </w:p>
    <w:p w14:paraId="3BB6F99D" w14:textId="77777777" w:rsidR="00213FF3" w:rsidRPr="00A9528F" w:rsidRDefault="00213FF3" w:rsidP="00213FF3">
      <w:pPr>
        <w:spacing w:after="0" w:line="360" w:lineRule="auto"/>
        <w:ind w:firstLine="426"/>
        <w:jc w:val="both"/>
        <w:rPr>
          <w:rFonts w:ascii="Times New Roman" w:eastAsia="Calibri" w:hAnsi="Times New Roman" w:cs="Times New Roman"/>
          <w:color w:val="000000"/>
          <w:sz w:val="24"/>
          <w:szCs w:val="24"/>
          <w:lang w:eastAsia="zh-CN"/>
        </w:rPr>
      </w:pPr>
      <w:r w:rsidRPr="00A9528F">
        <w:rPr>
          <w:rFonts w:ascii="Times New Roman" w:eastAsia="Calibri" w:hAnsi="Times New Roman" w:cs="Times New Roman"/>
          <w:color w:val="000000"/>
          <w:sz w:val="24"/>
          <w:szCs w:val="24"/>
          <w:lang w:eastAsia="zh-CN"/>
        </w:rPr>
        <w:t>Ir veikta Rehabilitācijas un fizikālās medicīnas nodaļas procesu analīze un uzsāktas darbības pakalpojuma gaidīšanas laiku un procesu izmaksu samazināšanai:</w:t>
      </w:r>
    </w:p>
    <w:p w14:paraId="7592D340" w14:textId="77777777" w:rsidR="00213FF3" w:rsidRPr="00A9528F" w:rsidRDefault="00213FF3" w:rsidP="00213FF3">
      <w:pPr>
        <w:pStyle w:val="ListParagraph"/>
        <w:numPr>
          <w:ilvl w:val="0"/>
          <w:numId w:val="7"/>
        </w:numPr>
        <w:spacing w:after="0" w:line="360" w:lineRule="auto"/>
        <w:ind w:left="709"/>
        <w:jc w:val="both"/>
        <w:rPr>
          <w:rFonts w:ascii="Times New Roman" w:eastAsia="Calibri" w:hAnsi="Times New Roman" w:cs="Times New Roman"/>
          <w:color w:val="000000"/>
          <w:sz w:val="24"/>
          <w:szCs w:val="24"/>
          <w:lang w:eastAsia="zh-CN"/>
        </w:rPr>
      </w:pPr>
      <w:r w:rsidRPr="00A9528F">
        <w:rPr>
          <w:rFonts w:ascii="Times New Roman" w:eastAsia="Calibri" w:hAnsi="Times New Roman" w:cs="Times New Roman"/>
          <w:color w:val="000000"/>
          <w:sz w:val="24"/>
          <w:szCs w:val="24"/>
          <w:lang w:eastAsia="zh-CN"/>
        </w:rPr>
        <w:t xml:space="preserve">ir palielināts fizioterapeitu skaits (pieņemti divi fizioterapeiti darbam poliklīnikā), </w:t>
      </w:r>
    </w:p>
    <w:p w14:paraId="1CBF2893" w14:textId="77777777" w:rsidR="00213FF3" w:rsidRPr="00A9528F" w:rsidRDefault="00213FF3" w:rsidP="00213FF3">
      <w:pPr>
        <w:pStyle w:val="ListParagraph"/>
        <w:numPr>
          <w:ilvl w:val="0"/>
          <w:numId w:val="7"/>
        </w:numPr>
        <w:spacing w:after="0" w:line="360" w:lineRule="auto"/>
        <w:ind w:left="709"/>
        <w:jc w:val="both"/>
        <w:rPr>
          <w:rFonts w:ascii="Times New Roman" w:eastAsia="Calibri" w:hAnsi="Times New Roman" w:cs="Times New Roman"/>
          <w:color w:val="000000"/>
          <w:sz w:val="24"/>
          <w:szCs w:val="24"/>
          <w:lang w:eastAsia="zh-CN"/>
        </w:rPr>
      </w:pPr>
      <w:r w:rsidRPr="00A9528F">
        <w:rPr>
          <w:rFonts w:ascii="Times New Roman" w:eastAsia="Calibri" w:hAnsi="Times New Roman" w:cs="Times New Roman"/>
          <w:color w:val="000000"/>
          <w:sz w:val="24"/>
          <w:szCs w:val="24"/>
          <w:lang w:eastAsia="zh-CN"/>
        </w:rPr>
        <w:t>ir iegādāts elektriski regulejams masāžas galds,</w:t>
      </w:r>
    </w:p>
    <w:p w14:paraId="6C845FA6" w14:textId="77777777" w:rsidR="00213FF3" w:rsidRPr="00A9528F" w:rsidRDefault="00213FF3" w:rsidP="00213FF3">
      <w:pPr>
        <w:pStyle w:val="ListParagraph"/>
        <w:numPr>
          <w:ilvl w:val="0"/>
          <w:numId w:val="7"/>
        </w:numPr>
        <w:spacing w:after="0" w:line="360" w:lineRule="auto"/>
        <w:ind w:left="709"/>
        <w:jc w:val="both"/>
        <w:rPr>
          <w:rFonts w:ascii="Times New Roman" w:eastAsia="Calibri" w:hAnsi="Times New Roman" w:cs="Times New Roman"/>
          <w:color w:val="000000"/>
          <w:sz w:val="24"/>
          <w:szCs w:val="24"/>
          <w:lang w:eastAsia="zh-CN"/>
        </w:rPr>
      </w:pPr>
      <w:r w:rsidRPr="00A9528F">
        <w:rPr>
          <w:rFonts w:ascii="Times New Roman" w:eastAsia="Calibri" w:hAnsi="Times New Roman" w:cs="Times New Roman"/>
          <w:color w:val="000000"/>
          <w:sz w:val="24"/>
          <w:szCs w:val="24"/>
          <w:lang w:eastAsia="zh-CN"/>
        </w:rPr>
        <w:t>ir iegādāta kušete, lai vienlaicīgi varētu strādāt vairāki speciālisti,</w:t>
      </w:r>
    </w:p>
    <w:p w14:paraId="2D5651C0" w14:textId="77777777" w:rsidR="00213FF3" w:rsidRPr="00A9528F" w:rsidRDefault="00213FF3" w:rsidP="00213FF3">
      <w:pPr>
        <w:pStyle w:val="ListParagraph"/>
        <w:numPr>
          <w:ilvl w:val="0"/>
          <w:numId w:val="7"/>
        </w:numPr>
        <w:spacing w:after="0" w:line="360" w:lineRule="auto"/>
        <w:ind w:left="709"/>
        <w:jc w:val="both"/>
        <w:rPr>
          <w:rFonts w:ascii="Times New Roman" w:eastAsia="Calibri" w:hAnsi="Times New Roman" w:cs="Times New Roman"/>
          <w:color w:val="000000"/>
          <w:sz w:val="24"/>
          <w:szCs w:val="24"/>
          <w:lang w:eastAsia="zh-CN"/>
        </w:rPr>
      </w:pPr>
      <w:r w:rsidRPr="00A9528F">
        <w:rPr>
          <w:rFonts w:ascii="Times New Roman" w:eastAsia="Calibri" w:hAnsi="Times New Roman" w:cs="Times New Roman"/>
          <w:color w:val="000000"/>
          <w:sz w:val="24"/>
          <w:szCs w:val="24"/>
          <w:lang w:eastAsia="zh-CN"/>
        </w:rPr>
        <w:t>ir veikta pacientu rindas aktualizācija, ieviešot elektronisko uzskaiti un izslēdzot neaktuālos pakalpojumu pieprasījumus.</w:t>
      </w:r>
    </w:p>
    <w:p w14:paraId="638B02B2" w14:textId="77777777" w:rsidR="00213FF3" w:rsidRPr="00A9528F" w:rsidRDefault="00213FF3" w:rsidP="003D2962">
      <w:pPr>
        <w:spacing w:after="0" w:line="360" w:lineRule="auto"/>
        <w:ind w:firstLine="426"/>
        <w:jc w:val="both"/>
        <w:rPr>
          <w:rFonts w:ascii="Times New Roman" w:eastAsia="Calibri" w:hAnsi="Times New Roman" w:cs="Times New Roman"/>
          <w:color w:val="000000"/>
          <w:sz w:val="24"/>
          <w:szCs w:val="24"/>
          <w:lang w:eastAsia="zh-CN"/>
        </w:rPr>
      </w:pPr>
      <w:r w:rsidRPr="00A9528F">
        <w:rPr>
          <w:rFonts w:ascii="Times New Roman" w:eastAsia="Calibri" w:hAnsi="Times New Roman" w:cs="Times New Roman"/>
          <w:color w:val="000000"/>
          <w:sz w:val="24"/>
          <w:szCs w:val="24"/>
          <w:lang w:eastAsia="zh-CN"/>
        </w:rPr>
        <w:t>Minētie jaunievedumi ievērojami samazināja gaidīšanas laikus pakalpojuma saņemšanai. Akūto ambulatoro pacientu rehabilitācijas uzsākšanas gaidīšanas laiks ir 0 (t.i. pakalpojums tiek nodrošināts 5 dienu laikā), un savukārt stacionārā pakalpojums tiek nodrošināts nākamajā dienā pēc ārsta norīkojuma. ERAF projektā, kura īstenošana uzsākta, tiks izveidota ambulatorās Rehabilitācijas  nodaļa aprīkota ar modernām iekārtām.</w:t>
      </w:r>
    </w:p>
    <w:p w14:paraId="66F35F99" w14:textId="77777777" w:rsidR="00213FF3" w:rsidRDefault="00213FF3" w:rsidP="00213FF3">
      <w:pPr>
        <w:spacing w:after="0" w:line="360" w:lineRule="auto"/>
        <w:ind w:firstLine="720"/>
        <w:jc w:val="both"/>
        <w:rPr>
          <w:rFonts w:ascii="Times New Roman" w:hAnsi="Times New Roman" w:cs="Times New Roman"/>
          <w:bCs/>
          <w:sz w:val="24"/>
          <w:szCs w:val="24"/>
        </w:rPr>
      </w:pPr>
    </w:p>
    <w:p w14:paraId="21A750DE" w14:textId="34F8280D" w:rsidR="00213FF3" w:rsidRPr="00E735D4" w:rsidRDefault="00E735D4" w:rsidP="00E735D4">
      <w:pPr>
        <w:pStyle w:val="Heading3"/>
        <w:rPr>
          <w:rFonts w:ascii="Times New Roman" w:hAnsi="Times New Roman" w:cs="Times New Roman"/>
          <w:i/>
          <w:iCs/>
        </w:rPr>
      </w:pPr>
      <w:bookmarkStart w:id="12" w:name="_Hlk45706410"/>
      <w:bookmarkStart w:id="13" w:name="_Toc67547266"/>
      <w:r w:rsidRPr="00E735D4">
        <w:rPr>
          <w:rFonts w:ascii="Times New Roman" w:hAnsi="Times New Roman" w:cs="Times New Roman"/>
          <w:i/>
          <w:iCs/>
        </w:rPr>
        <w:t xml:space="preserve">1.3.3. </w:t>
      </w:r>
      <w:r w:rsidR="00213FF3" w:rsidRPr="00E735D4">
        <w:rPr>
          <w:rFonts w:ascii="Times New Roman" w:hAnsi="Times New Roman" w:cs="Times New Roman"/>
          <w:i/>
          <w:iCs/>
        </w:rPr>
        <w:t>Infekciju uzraudzības attīstīšana</w:t>
      </w:r>
      <w:bookmarkEnd w:id="12"/>
      <w:bookmarkEnd w:id="13"/>
      <w:r w:rsidR="00213FF3" w:rsidRPr="00E735D4">
        <w:rPr>
          <w:rFonts w:ascii="Times New Roman" w:hAnsi="Times New Roman" w:cs="Times New Roman"/>
          <w:i/>
          <w:iCs/>
        </w:rPr>
        <w:t xml:space="preserve"> </w:t>
      </w:r>
    </w:p>
    <w:p w14:paraId="2AD617C9" w14:textId="77777777" w:rsidR="00213FF3" w:rsidRDefault="00213FF3" w:rsidP="00213F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Slimnīca infekciju slimību diagnostikas attīstīšanai, veic mikrobioloģiskos izmeklējumus uz vietas jau Uzņemšanas nodaļā, tādējādi iegūstot ātrāku informāciju par diagnozi un </w:t>
      </w:r>
      <w:r>
        <w:rPr>
          <w:rFonts w:ascii="Times New Roman" w:hAnsi="Times New Roman" w:cs="Times New Roman"/>
          <w:sz w:val="24"/>
          <w:szCs w:val="24"/>
        </w:rPr>
        <w:lastRenderedPageBreak/>
        <w:t>nepieciešamo ārstēšanu, kā arī nepieciešamo antibiotiku izvēli. 2020.gadā  Uzņemšanas nodaļā ar pirmreizēji izdalītu baktēriju tika diagnosticēts 28,8% gadījumu salīdzinot ar 2019.gadu – 12,2%.</w:t>
      </w:r>
    </w:p>
    <w:p w14:paraId="725B4A44" w14:textId="77777777" w:rsidR="00213FF3" w:rsidRDefault="00213FF3" w:rsidP="00213FF3">
      <w:pPr>
        <w:spacing w:after="0" w:line="360" w:lineRule="auto"/>
        <w:ind w:firstLine="360"/>
        <w:jc w:val="both"/>
        <w:rPr>
          <w:rFonts w:ascii="Times New Roman" w:hAnsi="Times New Roman" w:cs="Times New Roman"/>
          <w:color w:val="FF0000"/>
          <w:sz w:val="24"/>
          <w:szCs w:val="24"/>
        </w:rPr>
      </w:pPr>
    </w:p>
    <w:p w14:paraId="333D0126" w14:textId="6A0A6C14" w:rsidR="00213FF3" w:rsidRPr="00E735D4" w:rsidRDefault="00E735D4" w:rsidP="00E735D4">
      <w:pPr>
        <w:pStyle w:val="Heading3"/>
        <w:rPr>
          <w:rFonts w:ascii="Times New Roman" w:hAnsi="Times New Roman" w:cs="Times New Roman"/>
          <w:i/>
          <w:iCs/>
        </w:rPr>
      </w:pPr>
      <w:bookmarkStart w:id="14" w:name="_Toc67547267"/>
      <w:r w:rsidRPr="00E735D4">
        <w:rPr>
          <w:rFonts w:ascii="Times New Roman" w:hAnsi="Times New Roman" w:cs="Times New Roman"/>
          <w:i/>
          <w:iCs/>
        </w:rPr>
        <w:t xml:space="preserve">1.3.4. </w:t>
      </w:r>
      <w:r w:rsidR="00213FF3" w:rsidRPr="00E735D4">
        <w:rPr>
          <w:rFonts w:ascii="Times New Roman" w:hAnsi="Times New Roman" w:cs="Times New Roman"/>
          <w:i/>
          <w:iCs/>
        </w:rPr>
        <w:t>Personāla vakcinācijas veicināšana</w:t>
      </w:r>
      <w:bookmarkEnd w:id="14"/>
      <w:r w:rsidR="00213FF3" w:rsidRPr="00E735D4">
        <w:rPr>
          <w:rFonts w:ascii="Times New Roman" w:hAnsi="Times New Roman" w:cs="Times New Roman"/>
          <w:i/>
          <w:iCs/>
        </w:rPr>
        <w:t xml:space="preserve"> </w:t>
      </w:r>
    </w:p>
    <w:p w14:paraId="4661DEC1" w14:textId="77777777" w:rsidR="00213FF3" w:rsidRDefault="00213FF3" w:rsidP="00213FF3">
      <w:pPr>
        <w:spacing w:after="0" w:line="360" w:lineRule="auto"/>
        <w:ind w:firstLine="360"/>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zh-CN"/>
        </w:rPr>
        <w:t>Pārskata periodā 28.decembrī darbību uzsāka Vakcinācijas kabinets, kurā nodrošināta vakcinācija pret COVID-19 prioritārai grupai atbilstoši Ministru Kabinetā noteiktajai kārtībai. No vakcinācijas sākuma līdz stratēgijas 2020.gada beigām pirmo vakcīnas devu saņēm</w:t>
      </w:r>
      <w:r>
        <w:rPr>
          <w:rFonts w:ascii="Times New Roman" w:eastAsia="Calibri" w:hAnsi="Times New Roman" w:cs="Times New Roman"/>
          <w:b/>
          <w:bCs/>
          <w:color w:val="000000" w:themeColor="text1"/>
          <w:sz w:val="24"/>
          <w:szCs w:val="24"/>
          <w:u w:val="single"/>
          <w:lang w:eastAsia="zh-CN"/>
        </w:rPr>
        <w:t>a</w:t>
      </w:r>
      <w:r>
        <w:rPr>
          <w:rFonts w:ascii="Times New Roman" w:eastAsia="Calibri" w:hAnsi="Times New Roman" w:cs="Times New Roman"/>
          <w:color w:val="000000" w:themeColor="text1"/>
          <w:sz w:val="24"/>
          <w:szCs w:val="24"/>
          <w:lang w:eastAsia="zh-CN"/>
        </w:rPr>
        <w:t xml:space="preserve"> 55 slimnīcas ārstniecības personas. </w:t>
      </w:r>
    </w:p>
    <w:p w14:paraId="33AB64AF" w14:textId="77777777" w:rsidR="00213FF3" w:rsidRDefault="00213FF3" w:rsidP="00213FF3">
      <w:pPr>
        <w:spacing w:after="0" w:line="360" w:lineRule="auto"/>
        <w:jc w:val="both"/>
        <w:rPr>
          <w:rFonts w:ascii="Times New Roman" w:hAnsi="Times New Roman" w:cs="Times New Roman"/>
          <w:i/>
          <w:iCs/>
          <w:sz w:val="24"/>
          <w:szCs w:val="24"/>
        </w:rPr>
      </w:pPr>
    </w:p>
    <w:p w14:paraId="51426DDB" w14:textId="37BA8B2E" w:rsidR="00213FF3" w:rsidRPr="00E735D4" w:rsidRDefault="00E735D4" w:rsidP="00E735D4">
      <w:pPr>
        <w:pStyle w:val="Heading3"/>
        <w:rPr>
          <w:rFonts w:ascii="Times New Roman" w:hAnsi="Times New Roman" w:cs="Times New Roman"/>
          <w:i/>
          <w:iCs/>
        </w:rPr>
      </w:pPr>
      <w:bookmarkStart w:id="15" w:name="_Toc67547268"/>
      <w:r w:rsidRPr="00E735D4">
        <w:rPr>
          <w:rFonts w:ascii="Times New Roman" w:hAnsi="Times New Roman" w:cs="Times New Roman"/>
          <w:i/>
          <w:iCs/>
        </w:rPr>
        <w:t xml:space="preserve">1.3.5. </w:t>
      </w:r>
      <w:r w:rsidR="00213FF3" w:rsidRPr="00E735D4">
        <w:rPr>
          <w:rFonts w:ascii="Times New Roman" w:hAnsi="Times New Roman" w:cs="Times New Roman"/>
          <w:i/>
          <w:iCs/>
        </w:rPr>
        <w:t>Zinātniskās un pētniecības darbības attīstība</w:t>
      </w:r>
      <w:bookmarkEnd w:id="15"/>
    </w:p>
    <w:p w14:paraId="7C7D540E" w14:textId="77777777" w:rsidR="00213FF3" w:rsidRDefault="00213FF3" w:rsidP="00213FF3">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Pārskata periodā Jēkabpils reģionālajā slimnīcā  norisinājās attālinātā konference “Par bērnu veselību pēc COVID-19 izslimošanas”, kurā BKUS pediatri Jēkabpils reģionālās slimnīcas ģimenes ārstus un pediatrus iepazīstināja ar veiktā pētījuma rezultātiem un to, kādas citas veselības problēmas Covid-19 ir radījis bērniem. </w:t>
      </w:r>
    </w:p>
    <w:p w14:paraId="6F0E93B2" w14:textId="77777777" w:rsidR="00213FF3" w:rsidRDefault="00213FF3" w:rsidP="00213FF3">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2020.gadā Jēkabpils reģionālajā slimnīcā veiksmīgi noritēja Bērnu klīniskā universitātes slimnīcas (turpmāk – BKUS) un Rīgas Stradiņa universitātes pētījuma “Par bērnu veselību pēc pārslimošanas ar COVID-19” izbraukums. BKUS pediatres veica Covid-19 pārslimojošo bērnu pieņemšanu, lai novērtētu bērnu vispārējo veselības stāvokli, noteiktu saslimšanas seku ietekmi uz veselību ilgtermiņā un paņemtu asins analīzes Covid-19 antivielu noteikšanai. Pētījumā no Jēkabpils piedalījās 13 bērni (2 līdz 17 gadu vecumā), kā arī viņu vecāki. Pētījumā iekļauto bērnu veselības stāvoklim speciālisti turpinās sekot līdzi ilgtermiņā, līdz pat 24 mēnešiem.</w:t>
      </w:r>
    </w:p>
    <w:p w14:paraId="63780532" w14:textId="6E61557C" w:rsidR="00B42C20" w:rsidRDefault="00213FF3" w:rsidP="00213FF3">
      <w:pPr>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Latvijā norisinās Latvijas Universitātes Klīniskās un profilaktiskās medicīnas institūta sadarbībā ar Starptautisko vēža pētniecības aģentūru veikts pētījums (GISTAR), kas pēta kuņģa un zarnu vēža izraisītās mirstības samazināšanas iespējas. Kapitālsabiedrība ir noslēgusi vienošanos starp Latvijas Universitāti par sadarbību Eiropas Reģionālās attīstības fonda līdzfinansētā projekta “H.pylori eradikācijas shēmas optimizācijas masveida kuņģa vēža prevencijas pasākumiem” īstenošanā.</w:t>
      </w:r>
    </w:p>
    <w:p w14:paraId="0E22C706" w14:textId="77777777" w:rsidR="00213FF3" w:rsidRPr="00A16BF3" w:rsidRDefault="00213FF3" w:rsidP="00213FF3">
      <w:pPr>
        <w:spacing w:after="0" w:line="360" w:lineRule="auto"/>
        <w:ind w:firstLine="360"/>
        <w:jc w:val="both"/>
        <w:rPr>
          <w:rFonts w:ascii="Times New Roman" w:hAnsi="Times New Roman" w:cs="Times New Roman"/>
          <w:sz w:val="24"/>
          <w:szCs w:val="24"/>
        </w:rPr>
      </w:pPr>
    </w:p>
    <w:p w14:paraId="7317112F" w14:textId="11D2D8ED" w:rsidR="00C73403" w:rsidRDefault="00C73403" w:rsidP="00E735D4">
      <w:pPr>
        <w:pStyle w:val="Heading2"/>
        <w:numPr>
          <w:ilvl w:val="1"/>
          <w:numId w:val="4"/>
        </w:numPr>
        <w:ind w:left="426"/>
        <w:rPr>
          <w:rFonts w:ascii="Times New Roman" w:hAnsi="Times New Roman" w:cs="Times New Roman"/>
          <w:b/>
          <w:bCs/>
          <w:sz w:val="24"/>
          <w:szCs w:val="24"/>
        </w:rPr>
      </w:pPr>
      <w:bookmarkStart w:id="16" w:name="_Hlk45706103"/>
      <w:bookmarkStart w:id="17" w:name="_Toc67547269"/>
      <w:r w:rsidRPr="00E735D4">
        <w:rPr>
          <w:rFonts w:ascii="Times New Roman" w:hAnsi="Times New Roman" w:cs="Times New Roman"/>
          <w:b/>
          <w:bCs/>
          <w:sz w:val="24"/>
          <w:szCs w:val="24"/>
        </w:rPr>
        <w:t>Ārstniecības pakalpojumu kvalitātes attīstīšana</w:t>
      </w:r>
      <w:bookmarkEnd w:id="16"/>
      <w:r w:rsidRPr="00E735D4">
        <w:rPr>
          <w:rFonts w:ascii="Times New Roman" w:hAnsi="Times New Roman" w:cs="Times New Roman"/>
          <w:b/>
          <w:bCs/>
          <w:sz w:val="24"/>
          <w:szCs w:val="24"/>
        </w:rPr>
        <w:t>:</w:t>
      </w:r>
      <w:bookmarkEnd w:id="17"/>
    </w:p>
    <w:p w14:paraId="646ABE5B" w14:textId="77777777" w:rsidR="000856C8" w:rsidRPr="000856C8" w:rsidRDefault="000856C8" w:rsidP="000856C8">
      <w:pPr>
        <w:pStyle w:val="ListParagraph"/>
        <w:spacing w:after="0" w:line="360" w:lineRule="auto"/>
        <w:ind w:left="360"/>
        <w:jc w:val="both"/>
        <w:rPr>
          <w:rFonts w:ascii="Times New Roman" w:hAnsi="Times New Roman" w:cs="Times New Roman"/>
          <w:b/>
          <w:bCs/>
          <w:sz w:val="24"/>
          <w:szCs w:val="24"/>
        </w:rPr>
      </w:pPr>
      <w:r w:rsidRPr="000856C8">
        <w:rPr>
          <w:rFonts w:ascii="Times New Roman" w:hAnsi="Times New Roman" w:cs="Times New Roman"/>
          <w:b/>
          <w:bCs/>
          <w:sz w:val="24"/>
          <w:szCs w:val="24"/>
        </w:rPr>
        <w:t>Mērķi:</w:t>
      </w:r>
    </w:p>
    <w:p w14:paraId="35252921" w14:textId="5468C50F" w:rsidR="00671EDD" w:rsidRPr="00A16BF3" w:rsidRDefault="00671EDD" w:rsidP="000856C8">
      <w:pPr>
        <w:pStyle w:val="teksts"/>
        <w:numPr>
          <w:ilvl w:val="0"/>
          <w:numId w:val="14"/>
        </w:numPr>
        <w:ind w:left="426" w:hanging="426"/>
        <w:rPr>
          <w:i/>
          <w:iCs/>
        </w:rPr>
      </w:pPr>
      <w:r w:rsidRPr="00A16BF3">
        <w:rPr>
          <w:i/>
          <w:iCs/>
        </w:rPr>
        <w:t>Pakalpojumu pieejamība</w:t>
      </w:r>
    </w:p>
    <w:p w14:paraId="65D3865A" w14:textId="77777777" w:rsidR="008C30AC" w:rsidRPr="00A16BF3" w:rsidRDefault="008C30AC" w:rsidP="000856C8">
      <w:pPr>
        <w:pStyle w:val="teksts"/>
        <w:numPr>
          <w:ilvl w:val="0"/>
          <w:numId w:val="14"/>
        </w:numPr>
        <w:ind w:left="426" w:hanging="426"/>
        <w:rPr>
          <w:b/>
          <w:i/>
          <w:iCs/>
          <w:u w:val="single"/>
        </w:rPr>
      </w:pPr>
      <w:r w:rsidRPr="00A16BF3">
        <w:rPr>
          <w:i/>
          <w:iCs/>
        </w:rPr>
        <w:t xml:space="preserve">Ārstnieciskās kvalitātes rādītāju monitoringa sistēmas ieviešana: </w:t>
      </w:r>
    </w:p>
    <w:p w14:paraId="7ED609DA" w14:textId="77777777" w:rsidR="008C30AC" w:rsidRPr="00A16BF3" w:rsidRDefault="008C30AC" w:rsidP="000856C8">
      <w:pPr>
        <w:pStyle w:val="ListParagraph"/>
        <w:numPr>
          <w:ilvl w:val="0"/>
          <w:numId w:val="14"/>
        </w:numPr>
        <w:spacing w:after="0" w:line="360" w:lineRule="auto"/>
        <w:ind w:left="426" w:hanging="426"/>
        <w:jc w:val="both"/>
        <w:rPr>
          <w:rFonts w:ascii="Times New Roman" w:hAnsi="Times New Roman" w:cs="Times New Roman"/>
          <w:i/>
          <w:iCs/>
          <w:sz w:val="24"/>
          <w:szCs w:val="24"/>
        </w:rPr>
      </w:pPr>
      <w:r w:rsidRPr="00A16BF3">
        <w:rPr>
          <w:rFonts w:ascii="Times New Roman" w:hAnsi="Times New Roman" w:cs="Times New Roman"/>
          <w:i/>
          <w:iCs/>
          <w:sz w:val="24"/>
          <w:szCs w:val="24"/>
        </w:rPr>
        <w:t>Pacientu drošības riska faktoru mazināšana, pacientiem un personālam drošas vides nodrošināšana (ietekmējošo riska faktoru identificēšana un mazināšana)</w:t>
      </w:r>
    </w:p>
    <w:p w14:paraId="7444E442" w14:textId="77777777" w:rsidR="008C30AC" w:rsidRPr="00A16BF3" w:rsidRDefault="008C30AC" w:rsidP="000856C8">
      <w:pPr>
        <w:pStyle w:val="ListParagraph"/>
        <w:numPr>
          <w:ilvl w:val="0"/>
          <w:numId w:val="14"/>
        </w:numPr>
        <w:spacing w:after="0" w:line="360" w:lineRule="auto"/>
        <w:ind w:left="426" w:hanging="426"/>
        <w:jc w:val="both"/>
        <w:rPr>
          <w:rFonts w:ascii="Times New Roman" w:hAnsi="Times New Roman" w:cs="Times New Roman"/>
          <w:i/>
          <w:iCs/>
          <w:sz w:val="24"/>
          <w:szCs w:val="24"/>
        </w:rPr>
      </w:pPr>
      <w:r w:rsidRPr="00A16BF3">
        <w:rPr>
          <w:rFonts w:ascii="Times New Roman" w:hAnsi="Times New Roman" w:cs="Times New Roman"/>
          <w:i/>
          <w:iCs/>
          <w:sz w:val="24"/>
          <w:szCs w:val="24"/>
        </w:rPr>
        <w:lastRenderedPageBreak/>
        <w:t>Saskaņā ar prioritāro kārtību, katru gadu darbības plānā noteikt darbības procesus, kuru īstenošanas kārtības ir jāizstrādā vai jāaktualizē</w:t>
      </w:r>
    </w:p>
    <w:p w14:paraId="64B09867" w14:textId="6C2AC062" w:rsidR="008C30AC" w:rsidRPr="00213FF3" w:rsidRDefault="008C30AC" w:rsidP="000E2D46">
      <w:pPr>
        <w:pStyle w:val="teksts"/>
        <w:ind w:left="720" w:firstLine="0"/>
        <w:rPr>
          <w:sz w:val="16"/>
          <w:szCs w:val="16"/>
        </w:rPr>
      </w:pPr>
    </w:p>
    <w:p w14:paraId="0B59C7A0" w14:textId="17DB08A5" w:rsidR="008C30AC" w:rsidRPr="00E735D4" w:rsidRDefault="008C30AC" w:rsidP="00E735D4">
      <w:pPr>
        <w:pStyle w:val="Heading3"/>
        <w:numPr>
          <w:ilvl w:val="2"/>
          <w:numId w:val="4"/>
        </w:numPr>
        <w:ind w:left="567"/>
        <w:rPr>
          <w:rFonts w:ascii="Times New Roman" w:hAnsi="Times New Roman" w:cs="Times New Roman"/>
          <w:i/>
          <w:iCs/>
        </w:rPr>
      </w:pPr>
      <w:bookmarkStart w:id="18" w:name="_Toc67547270"/>
      <w:r w:rsidRPr="00E735D4">
        <w:rPr>
          <w:rFonts w:ascii="Times New Roman" w:hAnsi="Times New Roman" w:cs="Times New Roman"/>
          <w:i/>
          <w:iCs/>
        </w:rPr>
        <w:t>Pakalpojumu pieejamība</w:t>
      </w:r>
      <w:bookmarkEnd w:id="18"/>
    </w:p>
    <w:p w14:paraId="5D29A574" w14:textId="77777777" w:rsidR="00213FF3" w:rsidRDefault="00213FF3" w:rsidP="00213FF3">
      <w:pPr>
        <w:spacing w:after="0" w:line="360" w:lineRule="auto"/>
        <w:ind w:firstLine="567"/>
        <w:jc w:val="both"/>
        <w:rPr>
          <w:rFonts w:ascii="Times New Roman" w:hAnsi="Times New Roman" w:cs="Times New Roman"/>
          <w:sz w:val="24"/>
          <w:szCs w:val="24"/>
        </w:rPr>
      </w:pPr>
      <w:bookmarkStart w:id="19" w:name="_Hlk67543979"/>
      <w:r>
        <w:rPr>
          <w:rFonts w:ascii="Times New Roman" w:hAnsi="Times New Roman" w:cs="Times New Roman"/>
          <w:sz w:val="24"/>
          <w:szCs w:val="24"/>
        </w:rPr>
        <w:t xml:space="preserve">Kapitālsabiedrība sniedz sekundāro veselības aprūpi, kas ir specializēta ambulatorā un/vai stacionārā veselības aprūpe, un ir orientēta uz neatliekamu, akūtu un plānveida medicīnisko palīdzību. </w:t>
      </w:r>
    </w:p>
    <w:p w14:paraId="21BD47CE" w14:textId="77777777" w:rsidR="00213FF3" w:rsidRDefault="00213FF3" w:rsidP="00213FF3">
      <w:pPr>
        <w:spacing w:after="0" w:line="360" w:lineRule="auto"/>
        <w:ind w:firstLine="567"/>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Sniegto pakalpojumu  apjomu ir ietekmējusi COVID-19 pandēmija un ārkārtējā situācija valstī. It īpaši tas ietekmēja plānveida veselības </w:t>
      </w:r>
      <w:r w:rsidRPr="00A9528F">
        <w:rPr>
          <w:rFonts w:ascii="Times New Roman" w:eastAsia="Calibri" w:hAnsi="Times New Roman" w:cs="Times New Roman"/>
          <w:color w:val="000000"/>
          <w:sz w:val="24"/>
          <w:szCs w:val="24"/>
          <w:lang w:eastAsia="zh-CN"/>
        </w:rPr>
        <w:t>aprūpes pakalpojumu samazināšanos, sakarā ar Veselības ministrijas rīkojumu Nr.59 „Pacientu un ārstu drošībai saistībā ar COVID-19 uz laiku ierobežos plānveida veselības aprūpes pakalpojumus" jau sākot ar 27.martu.</w:t>
      </w:r>
      <w:r w:rsidRPr="00A9528F">
        <w:rPr>
          <w:rFonts w:eastAsia="Calibri"/>
          <w:color w:val="000000"/>
          <w:sz w:val="20"/>
          <w:szCs w:val="20"/>
          <w:lang w:eastAsia="zh-CN"/>
        </w:rPr>
        <w:t xml:space="preserve"> </w:t>
      </w:r>
      <w:r w:rsidRPr="00A9528F">
        <w:rPr>
          <w:rFonts w:ascii="Times New Roman" w:eastAsia="Calibri" w:hAnsi="Times New Roman" w:cs="Times New Roman"/>
          <w:color w:val="000000"/>
          <w:sz w:val="24"/>
          <w:szCs w:val="24"/>
          <w:lang w:eastAsia="zh-CN"/>
        </w:rPr>
        <w:t>Pakāpeniska visa spektra plānveida veselības aprūpes pakalpojumu (ar vispārējo anestēziju) sniegšana tika atsākta sākot ar 20.maiju. Tomēr ievērojot noteikto ieteikumu par COVID</w:t>
      </w:r>
      <w:r>
        <w:rPr>
          <w:rFonts w:ascii="Times New Roman" w:eastAsia="Calibri" w:hAnsi="Times New Roman" w:cs="Times New Roman"/>
          <w:color w:val="000000"/>
          <w:sz w:val="24"/>
          <w:szCs w:val="24"/>
          <w:lang w:eastAsia="zh-CN"/>
        </w:rPr>
        <w:t>-19 testa nepieciešamību pirms plānveida operāciju un invazīvo izmeklējumu veikšanas un sezonalitāti – pakalpojumu apjoms samazinājās arī 3.ceturksnī. Sākot ar 21.decembri apturēta plānveida operāciju sniegšana, izņemot, neatliekamās operācijas un situācijās, kad ilgāka operācijas atlikšana būtiski paaugstina invalidizācijas risku un ievērojami paaugstina veselības pasliktināšanos. Līdz ar to ir izskaidrojamas statistikas datu būtiskas atšķirības salīdzinot ar 2019.gadu.</w:t>
      </w:r>
    </w:p>
    <w:bookmarkEnd w:id="19"/>
    <w:p w14:paraId="3E9A2AE2" w14:textId="77777777" w:rsidR="00772673" w:rsidRPr="00A16BF3" w:rsidRDefault="00772673" w:rsidP="000E2D46">
      <w:pPr>
        <w:spacing w:after="0" w:line="360" w:lineRule="auto"/>
        <w:ind w:firstLine="357"/>
        <w:jc w:val="both"/>
        <w:rPr>
          <w:rFonts w:ascii="Times New Roman" w:eastAsia="Calibri" w:hAnsi="Times New Roman" w:cs="Times New Roman"/>
          <w:b/>
          <w:bCs/>
          <w:color w:val="000000"/>
          <w:sz w:val="24"/>
          <w:szCs w:val="24"/>
          <w:lang w:eastAsia="zh-CN"/>
        </w:rPr>
      </w:pPr>
    </w:p>
    <w:p w14:paraId="1F31A2F6" w14:textId="77777777" w:rsidR="00213FF3" w:rsidRDefault="00213FF3">
      <w:pPr>
        <w:rPr>
          <w:rFonts w:ascii="Times New Roman" w:eastAsia="Calibri" w:hAnsi="Times New Roman" w:cs="Times New Roman"/>
          <w:b/>
          <w:bCs/>
          <w:color w:val="000000"/>
          <w:sz w:val="24"/>
          <w:szCs w:val="24"/>
          <w:lang w:eastAsia="zh-CN"/>
        </w:rPr>
      </w:pPr>
      <w:r>
        <w:rPr>
          <w:rFonts w:ascii="Times New Roman" w:eastAsia="Calibri" w:hAnsi="Times New Roman" w:cs="Times New Roman"/>
          <w:b/>
          <w:bCs/>
          <w:color w:val="000000"/>
          <w:sz w:val="24"/>
          <w:szCs w:val="24"/>
          <w:lang w:eastAsia="zh-CN"/>
        </w:rPr>
        <w:br w:type="page"/>
      </w:r>
    </w:p>
    <w:p w14:paraId="5CE750D0" w14:textId="66F1302E" w:rsidR="00D9068D" w:rsidRPr="00A16BF3" w:rsidRDefault="00711E3B" w:rsidP="00AC06D2">
      <w:pPr>
        <w:spacing w:after="0" w:line="360" w:lineRule="auto"/>
        <w:rPr>
          <w:rFonts w:ascii="Times New Roman" w:eastAsia="Calibri" w:hAnsi="Times New Roman" w:cs="Times New Roman"/>
          <w:color w:val="000000"/>
          <w:sz w:val="24"/>
          <w:szCs w:val="24"/>
          <w:lang w:eastAsia="zh-CN"/>
        </w:rPr>
      </w:pPr>
      <w:r w:rsidRPr="00A16BF3">
        <w:rPr>
          <w:rFonts w:ascii="Times New Roman" w:eastAsia="Calibri" w:hAnsi="Times New Roman" w:cs="Times New Roman"/>
          <w:b/>
          <w:bCs/>
          <w:color w:val="000000"/>
          <w:sz w:val="24"/>
          <w:szCs w:val="24"/>
          <w:lang w:eastAsia="zh-CN"/>
        </w:rPr>
        <w:lastRenderedPageBreak/>
        <w:t>Ambulatoro pakalpojumu struktūra un apjoms</w:t>
      </w:r>
      <w:r w:rsidR="00A171BA" w:rsidRPr="00A16BF3">
        <w:rPr>
          <w:rFonts w:ascii="Times New Roman" w:eastAsia="Calibri" w:hAnsi="Times New Roman" w:cs="Times New Roman"/>
          <w:b/>
          <w:bCs/>
          <w:color w:val="000000"/>
          <w:sz w:val="24"/>
          <w:szCs w:val="24"/>
          <w:lang w:eastAsia="zh-CN"/>
        </w:rPr>
        <w:t xml:space="preserve"> </w:t>
      </w:r>
      <w:r w:rsidR="00213FF3">
        <w:rPr>
          <w:rFonts w:ascii="Times New Roman" w:eastAsia="Calibri" w:hAnsi="Times New Roman" w:cs="Times New Roman"/>
          <w:b/>
          <w:bCs/>
          <w:color w:val="000000"/>
          <w:sz w:val="24"/>
          <w:szCs w:val="24"/>
          <w:lang w:eastAsia="zh-CN"/>
        </w:rPr>
        <w:t>laika posmā no 2015.-2020.gadam</w:t>
      </w:r>
    </w:p>
    <w:p w14:paraId="0A027DED" w14:textId="4877F889" w:rsidR="00D9068D" w:rsidRPr="00A16BF3" w:rsidRDefault="00D9068D" w:rsidP="00B42C20">
      <w:pPr>
        <w:spacing w:after="0" w:line="360" w:lineRule="auto"/>
        <w:jc w:val="center"/>
        <w:rPr>
          <w:rFonts w:ascii="Times New Roman" w:eastAsia="Calibri" w:hAnsi="Times New Roman" w:cs="Times New Roman"/>
          <w:color w:val="000000"/>
          <w:sz w:val="24"/>
          <w:szCs w:val="24"/>
          <w:lang w:eastAsia="zh-CN"/>
        </w:rPr>
      </w:pPr>
      <w:r w:rsidRPr="00A16BF3">
        <w:rPr>
          <w:noProof/>
        </w:rPr>
        <w:drawing>
          <wp:inline distT="0" distB="0" distL="0" distR="0" wp14:anchorId="3D867F3B" wp14:editId="0E26CB6A">
            <wp:extent cx="5731510" cy="3241040"/>
            <wp:effectExtent l="0" t="0" r="254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34E51C" w14:textId="77777777" w:rsidR="00D9068D" w:rsidRPr="00A16BF3" w:rsidRDefault="00D9068D" w:rsidP="006E0C5B">
      <w:pPr>
        <w:pStyle w:val="ListParagraph"/>
        <w:spacing w:after="0" w:line="240" w:lineRule="auto"/>
        <w:ind w:left="709" w:hanging="709"/>
        <w:jc w:val="both"/>
        <w:rPr>
          <w:rFonts w:ascii="Times New Roman" w:hAnsi="Times New Roman" w:cs="Times New Roman"/>
          <w:i/>
        </w:rPr>
      </w:pPr>
      <w:r w:rsidRPr="00A16BF3">
        <w:rPr>
          <w:rFonts w:ascii="Times New Roman" w:hAnsi="Times New Roman" w:cs="Times New Roman"/>
          <w:i/>
        </w:rPr>
        <w:t xml:space="preserve">1.attēls Ambulatori </w:t>
      </w:r>
      <w:r w:rsidRPr="006E0C5B">
        <w:rPr>
          <w:rFonts w:ascii="Times New Roman" w:hAnsi="Times New Roman" w:cs="Times New Roman"/>
          <w:i/>
          <w:sz w:val="20"/>
          <w:szCs w:val="20"/>
          <w:shd w:val="clear" w:color="auto" w:fill="FFFFFF"/>
        </w:rPr>
        <w:t>veikto izmeklējumu un aprūpes epizožu skaita struktūra</w:t>
      </w:r>
      <w:r w:rsidRPr="006E0C5B">
        <w:rPr>
          <w:rFonts w:ascii="Times New Roman" w:hAnsi="Times New Roman" w:cs="Times New Roman"/>
          <w:i/>
          <w:sz w:val="20"/>
          <w:szCs w:val="20"/>
        </w:rPr>
        <w:t xml:space="preserve"> dinamikā laika periodā no 2015. – 2020.gadam</w:t>
      </w:r>
    </w:p>
    <w:p w14:paraId="4AC6EB19" w14:textId="5558FAC0" w:rsidR="00D9068D" w:rsidRPr="00A16BF3" w:rsidRDefault="00D9068D" w:rsidP="000E2D46">
      <w:pPr>
        <w:pStyle w:val="ListParagraph"/>
        <w:spacing w:after="0" w:line="360" w:lineRule="auto"/>
        <w:ind w:left="1077"/>
        <w:jc w:val="both"/>
        <w:rPr>
          <w:rFonts w:ascii="Times New Roman" w:eastAsia="Calibri" w:hAnsi="Times New Roman" w:cs="Times New Roman"/>
          <w:color w:val="000000"/>
          <w:sz w:val="24"/>
          <w:szCs w:val="24"/>
          <w:lang w:eastAsia="zh-CN"/>
        </w:rPr>
      </w:pPr>
    </w:p>
    <w:p w14:paraId="51987064" w14:textId="601C8198" w:rsidR="00D9068D" w:rsidRPr="00A16BF3" w:rsidRDefault="00D9068D" w:rsidP="00B42C20">
      <w:pPr>
        <w:pStyle w:val="ListParagraph"/>
        <w:spacing w:after="0" w:line="360" w:lineRule="auto"/>
        <w:ind w:left="0"/>
        <w:jc w:val="center"/>
        <w:rPr>
          <w:rFonts w:ascii="Times New Roman" w:eastAsia="Calibri" w:hAnsi="Times New Roman" w:cs="Times New Roman"/>
          <w:color w:val="000000"/>
          <w:sz w:val="24"/>
          <w:szCs w:val="24"/>
          <w:lang w:eastAsia="zh-CN"/>
        </w:rPr>
      </w:pPr>
      <w:r w:rsidRPr="00A16BF3">
        <w:rPr>
          <w:rFonts w:ascii="Times New Roman" w:hAnsi="Times New Roman" w:cs="Times New Roman"/>
          <w:b/>
          <w:noProof/>
          <w:sz w:val="28"/>
          <w:szCs w:val="28"/>
          <w:lang w:eastAsia="lv-LV"/>
        </w:rPr>
        <w:drawing>
          <wp:inline distT="0" distB="0" distL="0" distR="0" wp14:anchorId="40A4992F" wp14:editId="60044905">
            <wp:extent cx="5731510" cy="3216489"/>
            <wp:effectExtent l="0" t="0" r="2540" b="3175"/>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9A48B9" w14:textId="0449F829" w:rsidR="00D9068D" w:rsidRPr="006E0C5B" w:rsidRDefault="00D9068D" w:rsidP="006E0C5B">
      <w:pPr>
        <w:pStyle w:val="ListParagraph"/>
        <w:spacing w:after="0" w:line="240" w:lineRule="auto"/>
        <w:ind w:left="851" w:hanging="851"/>
        <w:jc w:val="both"/>
        <w:rPr>
          <w:rFonts w:ascii="Times New Roman" w:eastAsia="Calibri" w:hAnsi="Times New Roman" w:cs="Times New Roman"/>
          <w:color w:val="000000"/>
          <w:lang w:eastAsia="zh-CN"/>
        </w:rPr>
      </w:pPr>
      <w:r w:rsidRPr="006E0C5B">
        <w:rPr>
          <w:rFonts w:ascii="Times New Roman" w:hAnsi="Times New Roman" w:cs="Times New Roman"/>
          <w:i/>
        </w:rPr>
        <w:t>2.attēls Ambulatori veikto manipulāciju skaits dinamikā laika periodā no 2015. – 2020.gadam. Pacientu skaitā ietverti visi SAVA speciālista apmeklējumi – ja pacients vienā aprūpes epizodē vairākkārt apmeklējis SAVA speciālistu, ir uzskaitīti visi apmeklējumi</w:t>
      </w:r>
    </w:p>
    <w:p w14:paraId="0A95BA5E" w14:textId="2D1B65AB" w:rsidR="00737BF7" w:rsidRPr="00A16BF3" w:rsidRDefault="00737BF7" w:rsidP="000E2D46">
      <w:pPr>
        <w:pStyle w:val="ListParagraph"/>
        <w:spacing w:after="0" w:line="360" w:lineRule="auto"/>
        <w:ind w:left="1077"/>
        <w:jc w:val="both"/>
        <w:rPr>
          <w:rFonts w:ascii="Times New Roman" w:eastAsia="Calibri" w:hAnsi="Times New Roman" w:cs="Times New Roman"/>
          <w:color w:val="000000"/>
          <w:sz w:val="24"/>
          <w:szCs w:val="24"/>
          <w:lang w:eastAsia="zh-CN"/>
        </w:rPr>
      </w:pPr>
    </w:p>
    <w:p w14:paraId="0F180978" w14:textId="28300AD9" w:rsidR="00737BF7" w:rsidRPr="00A16BF3" w:rsidRDefault="00737BF7" w:rsidP="00B42C20">
      <w:pPr>
        <w:pStyle w:val="ListParagraph"/>
        <w:spacing w:after="0" w:line="360" w:lineRule="auto"/>
        <w:ind w:left="0"/>
        <w:jc w:val="both"/>
        <w:rPr>
          <w:rFonts w:ascii="Times New Roman" w:eastAsia="Calibri" w:hAnsi="Times New Roman" w:cs="Times New Roman"/>
          <w:color w:val="000000"/>
          <w:sz w:val="24"/>
          <w:szCs w:val="24"/>
          <w:lang w:eastAsia="zh-CN"/>
        </w:rPr>
      </w:pPr>
      <w:r w:rsidRPr="00A16BF3">
        <w:rPr>
          <w:rFonts w:ascii="Times New Roman" w:hAnsi="Times New Roman" w:cs="Times New Roman"/>
          <w:b/>
          <w:noProof/>
          <w:sz w:val="28"/>
          <w:szCs w:val="28"/>
          <w:lang w:eastAsia="lv-LV"/>
        </w:rPr>
        <w:lastRenderedPageBreak/>
        <w:drawing>
          <wp:inline distT="0" distB="0" distL="0" distR="0" wp14:anchorId="561D00E5" wp14:editId="55F467BB">
            <wp:extent cx="5731510" cy="3356848"/>
            <wp:effectExtent l="0" t="0" r="2540" b="1524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4AD6ED" w14:textId="220BF1FC" w:rsidR="00737BF7" w:rsidRPr="00A16BF3" w:rsidRDefault="00711E3B" w:rsidP="006E0C5B">
      <w:pPr>
        <w:pStyle w:val="ListParagraph"/>
        <w:spacing w:after="0" w:line="240" w:lineRule="auto"/>
        <w:ind w:hanging="720"/>
        <w:jc w:val="both"/>
        <w:rPr>
          <w:rFonts w:ascii="Times New Roman" w:hAnsi="Times New Roman" w:cs="Times New Roman"/>
          <w:i/>
        </w:rPr>
      </w:pPr>
      <w:r w:rsidRPr="00A16BF3">
        <w:rPr>
          <w:rFonts w:ascii="Times New Roman" w:eastAsia="Calibri" w:hAnsi="Times New Roman" w:cs="Times New Roman"/>
          <w:color w:val="000000"/>
          <w:sz w:val="24"/>
          <w:szCs w:val="24"/>
          <w:lang w:eastAsia="zh-CN"/>
        </w:rPr>
        <w:t xml:space="preserve"> </w:t>
      </w:r>
      <w:r w:rsidR="00737BF7" w:rsidRPr="00A16BF3">
        <w:rPr>
          <w:rFonts w:ascii="Times New Roman" w:hAnsi="Times New Roman" w:cs="Times New Roman"/>
          <w:i/>
        </w:rPr>
        <w:t>3.attēls Dienas stacionāra pacientu skaita un sadalījuma pa profiliem struktūra dinamikā laika periodā no 2015. - 2020. gadam</w:t>
      </w:r>
    </w:p>
    <w:p w14:paraId="47E3A456" w14:textId="77777777" w:rsidR="00737BF7" w:rsidRPr="00A16BF3" w:rsidRDefault="00737BF7" w:rsidP="000E2D46">
      <w:pPr>
        <w:pStyle w:val="ListParagraph"/>
        <w:spacing w:after="0" w:line="360" w:lineRule="auto"/>
        <w:ind w:left="1077"/>
        <w:jc w:val="both"/>
        <w:rPr>
          <w:rFonts w:ascii="Times New Roman" w:eastAsia="Calibri" w:hAnsi="Times New Roman" w:cs="Times New Roman"/>
          <w:color w:val="000000"/>
          <w:sz w:val="24"/>
          <w:szCs w:val="24"/>
          <w:lang w:eastAsia="zh-CN"/>
        </w:rPr>
      </w:pPr>
    </w:p>
    <w:p w14:paraId="25FF0501" w14:textId="32CC9A46" w:rsidR="00737BF7" w:rsidRPr="00A16BF3" w:rsidRDefault="00737BF7" w:rsidP="00B42C20">
      <w:pPr>
        <w:pStyle w:val="ListParagraph"/>
        <w:spacing w:after="0" w:line="360" w:lineRule="auto"/>
        <w:ind w:left="0"/>
        <w:jc w:val="both"/>
        <w:rPr>
          <w:rFonts w:ascii="Times New Roman" w:eastAsia="Calibri" w:hAnsi="Times New Roman" w:cs="Times New Roman"/>
          <w:color w:val="000000"/>
          <w:sz w:val="24"/>
          <w:szCs w:val="24"/>
          <w:lang w:eastAsia="zh-CN"/>
        </w:rPr>
      </w:pPr>
      <w:r w:rsidRPr="00A16BF3">
        <w:rPr>
          <w:rFonts w:ascii="Times New Roman" w:hAnsi="Times New Roman" w:cs="Times New Roman"/>
          <w:b/>
          <w:noProof/>
          <w:sz w:val="28"/>
          <w:szCs w:val="28"/>
          <w:lang w:eastAsia="lv-LV"/>
        </w:rPr>
        <w:drawing>
          <wp:inline distT="0" distB="0" distL="0" distR="0" wp14:anchorId="6E474632" wp14:editId="315D2EE1">
            <wp:extent cx="5731510" cy="3006575"/>
            <wp:effectExtent l="0" t="0" r="2540" b="381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DD132B" w14:textId="59E2730A" w:rsidR="00737BF7" w:rsidRPr="00A16BF3" w:rsidRDefault="00737BF7" w:rsidP="006E0C5B">
      <w:pPr>
        <w:pStyle w:val="ListParagraph"/>
        <w:spacing w:after="0" w:line="240" w:lineRule="auto"/>
        <w:ind w:hanging="720"/>
        <w:jc w:val="both"/>
        <w:rPr>
          <w:rFonts w:ascii="Times New Roman" w:hAnsi="Times New Roman" w:cs="Times New Roman"/>
          <w:i/>
        </w:rPr>
      </w:pPr>
      <w:r w:rsidRPr="00A16BF3">
        <w:rPr>
          <w:rFonts w:ascii="Times New Roman" w:hAnsi="Times New Roman" w:cs="Times New Roman"/>
          <w:i/>
        </w:rPr>
        <w:t>4.attēls  Dienas stacionārā ārstēto pacientu skaita un p</w:t>
      </w:r>
      <w:r w:rsidRPr="00A16BF3">
        <w:rPr>
          <w:rFonts w:ascii="Times New Roman" w:eastAsia="Times New Roman" w:hAnsi="Times New Roman" w:cs="Times New Roman"/>
          <w:i/>
          <w:color w:val="000000"/>
          <w:lang w:eastAsia="lv-LV"/>
        </w:rPr>
        <w:t>acientu pavadītā laika struktūra dienas stacionārā (gultasdienas)</w:t>
      </w:r>
      <w:r w:rsidRPr="00A16BF3">
        <w:rPr>
          <w:rFonts w:ascii="Times New Roman" w:hAnsi="Times New Roman" w:cs="Times New Roman"/>
          <w:i/>
        </w:rPr>
        <w:t xml:space="preserve"> dinamikā laika periodā no 2015. – 2020.gadam</w:t>
      </w:r>
    </w:p>
    <w:p w14:paraId="74F85FCA" w14:textId="77777777" w:rsidR="00B42C20" w:rsidRPr="00A16BF3" w:rsidRDefault="00B42C20" w:rsidP="000E2D46">
      <w:pPr>
        <w:pStyle w:val="ListParagraph"/>
        <w:spacing w:after="0" w:line="360" w:lineRule="auto"/>
        <w:ind w:left="1077"/>
        <w:jc w:val="both"/>
        <w:rPr>
          <w:rFonts w:ascii="Times New Roman" w:eastAsia="Calibri" w:hAnsi="Times New Roman" w:cs="Times New Roman"/>
          <w:color w:val="000000"/>
          <w:sz w:val="24"/>
          <w:szCs w:val="24"/>
          <w:lang w:eastAsia="zh-CN"/>
        </w:rPr>
      </w:pPr>
    </w:p>
    <w:p w14:paraId="3A380370" w14:textId="46670C23" w:rsidR="00737BF7" w:rsidRPr="006E0C5B" w:rsidRDefault="00AC06D2" w:rsidP="00AC06D2">
      <w:pPr>
        <w:rPr>
          <w:rFonts w:ascii="Times New Roman" w:eastAsia="Calibri" w:hAnsi="Times New Roman" w:cs="Times New Roman"/>
          <w:b/>
          <w:bCs/>
          <w:color w:val="000000"/>
          <w:sz w:val="24"/>
          <w:szCs w:val="24"/>
          <w:lang w:eastAsia="zh-CN"/>
        </w:rPr>
      </w:pPr>
      <w:r>
        <w:rPr>
          <w:rFonts w:ascii="Times New Roman" w:eastAsia="Calibri" w:hAnsi="Times New Roman" w:cs="Times New Roman"/>
          <w:b/>
          <w:bCs/>
          <w:color w:val="000000"/>
          <w:sz w:val="24"/>
          <w:szCs w:val="24"/>
          <w:lang w:eastAsia="zh-CN"/>
        </w:rPr>
        <w:t>P</w:t>
      </w:r>
      <w:r w:rsidR="00A171BA" w:rsidRPr="006E0C5B">
        <w:rPr>
          <w:rFonts w:ascii="Times New Roman" w:eastAsia="Calibri" w:hAnsi="Times New Roman" w:cs="Times New Roman"/>
          <w:b/>
          <w:bCs/>
          <w:color w:val="000000"/>
          <w:sz w:val="24"/>
          <w:szCs w:val="24"/>
          <w:lang w:eastAsia="zh-CN"/>
        </w:rPr>
        <w:t>ar ambulatoro pakalpojumu apjomu un struktūru</w:t>
      </w:r>
      <w:r w:rsidR="00213FF3">
        <w:rPr>
          <w:rFonts w:ascii="Times New Roman" w:eastAsia="Calibri" w:hAnsi="Times New Roman" w:cs="Times New Roman"/>
          <w:b/>
          <w:bCs/>
          <w:color w:val="000000"/>
          <w:sz w:val="24"/>
          <w:szCs w:val="24"/>
          <w:lang w:eastAsia="zh-CN"/>
        </w:rPr>
        <w:t xml:space="preserve"> 2020.gadā</w:t>
      </w:r>
      <w:r w:rsidR="00737BF7" w:rsidRPr="006E0C5B">
        <w:rPr>
          <w:rFonts w:ascii="Times New Roman" w:eastAsia="Calibri" w:hAnsi="Times New Roman" w:cs="Times New Roman"/>
          <w:b/>
          <w:bCs/>
          <w:color w:val="000000"/>
          <w:sz w:val="24"/>
          <w:szCs w:val="24"/>
          <w:lang w:eastAsia="zh-CN"/>
        </w:rPr>
        <w:t>:</w:t>
      </w:r>
    </w:p>
    <w:p w14:paraId="0545AC0C" w14:textId="77777777" w:rsidR="00AC06D2" w:rsidRDefault="00AC06D2" w:rsidP="00AC06D2">
      <w:pPr>
        <w:pStyle w:val="ListParagraph"/>
        <w:numPr>
          <w:ilvl w:val="0"/>
          <w:numId w:val="6"/>
        </w:numPr>
        <w:spacing w:after="0" w:line="360" w:lineRule="auto"/>
        <w:ind w:left="284" w:hanging="284"/>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ir samazinājies ambulatoro apmeklējumu   skaits un sasniedz   81,2% no 2019.gada apjoma, jo pakalpojumu sniegšana tika ierobežota, kā arī  ārstniecības personāls bija inficējies vai atradās izolācijā;                                                                                                                                                                       </w:t>
      </w:r>
    </w:p>
    <w:p w14:paraId="5CE5FF0E" w14:textId="77777777" w:rsidR="00AC06D2" w:rsidRDefault="00AC06D2" w:rsidP="00AC06D2">
      <w:pPr>
        <w:pStyle w:val="ListParagraph"/>
        <w:numPr>
          <w:ilvl w:val="0"/>
          <w:numId w:val="6"/>
        </w:numPr>
        <w:spacing w:after="0" w:line="360" w:lineRule="auto"/>
        <w:ind w:left="284" w:hanging="284"/>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 xml:space="preserve">bet ir pieaudzis veikto manipulāciju (t.sk. izmeklējumu) skaits – 116,6%, kas liecina par pacientu apkalpošanas intensitātes pieaugumu, kas ietver  arī attālināti sniegtās konsultācijas un </w:t>
      </w:r>
      <w:r>
        <w:rPr>
          <w:rFonts w:ascii="Times New Roman" w:hAnsi="Times New Roman" w:cs="Times New Roman"/>
          <w:sz w:val="24"/>
          <w:szCs w:val="24"/>
        </w:rPr>
        <w:t>apstiprinātās jaunās manipulācijas</w:t>
      </w:r>
      <w:r>
        <w:rPr>
          <w:rFonts w:ascii="Times New Roman" w:eastAsia="Calibri" w:hAnsi="Times New Roman" w:cs="Times New Roman"/>
          <w:color w:val="000000"/>
          <w:sz w:val="24"/>
          <w:szCs w:val="24"/>
          <w:lang w:eastAsia="zh-CN"/>
        </w:rPr>
        <w:t>;</w:t>
      </w:r>
    </w:p>
    <w:p w14:paraId="7E76ACD9" w14:textId="77777777" w:rsidR="00AC06D2" w:rsidRDefault="00AC06D2" w:rsidP="00AC06D2">
      <w:pPr>
        <w:pStyle w:val="ListParagraph"/>
        <w:numPr>
          <w:ilvl w:val="0"/>
          <w:numId w:val="6"/>
        </w:numPr>
        <w:spacing w:after="0" w:line="360" w:lineRule="auto"/>
        <w:ind w:left="284" w:hanging="284"/>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lai gan dienas stacionāra kopējais pakalpojumu skaits ir sasniedzis 83,2% no 2019.gada apjoma, tomēr uroloģijas speciālista darba uzsākšana slimnīcā, t.sk operāciju veikšanas  uzsākšana, kā arī progresīvāku ārstēšanas metožu ieviešana sekmēja pakalpojuma skaitu pieaugumu uroloģijā par 211% . Arī  traumatoloģijā pakalpojumu skaits ir pieaudzis par 124,6%, kas skaidrojums ar to, ka pavasara plānveida pakalpojumu apturēšanā bija atļautas plānveida operācijas traumatoloģijā, ja operāciju atlikšana var radīt invalidizācijas risku.</w:t>
      </w:r>
    </w:p>
    <w:p w14:paraId="29D20F33" w14:textId="77777777" w:rsidR="00AC06D2" w:rsidRDefault="00AC06D2" w:rsidP="00AC06D2">
      <w:pPr>
        <w:pStyle w:val="ListParagraph"/>
        <w:numPr>
          <w:ilvl w:val="0"/>
          <w:numId w:val="6"/>
        </w:numPr>
        <w:spacing w:after="0" w:line="360" w:lineRule="auto"/>
        <w:ind w:left="284" w:hanging="284"/>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2020.gadā ir samazinājies dienas stacionārā pavadītais laiks, kas liecina par pakalpojumu struktūras izmaiņām, jo 2020.gadā saistībā ar plānveida pakalpojumu apturēšanu (pavasarī) likumsakarīgi samazinājā terapeitisko-neiroloģisko pacientu dienas stacinārā skaits. Šī pakalpojumu programmu raksturo pacienta piecu līdz desmit dienu zāļu intravenozi, infūzi kursa saņemšanu dienas stacionāra ietvaros. </w:t>
      </w:r>
    </w:p>
    <w:p w14:paraId="7A9DCF7F" w14:textId="77777777" w:rsidR="00AC06D2" w:rsidRDefault="00AC06D2" w:rsidP="00AC06D2">
      <w:pPr>
        <w:pStyle w:val="ListParagraph"/>
        <w:spacing w:after="0" w:line="360" w:lineRule="auto"/>
        <w:ind w:left="284"/>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Tas secīgi ietekmēja - samazināja vidējo dienas stacionārā pavadīto dienu skaitu, jo pie plānveida ķirurģiskām operācijām pacients uzturas dienas stacionārā vienu dienu (vēlākais tiek izrakstīts nākamajā dienā – nepārsniedzot 16 stundas no stacionēšanas sākuma). </w:t>
      </w:r>
    </w:p>
    <w:p w14:paraId="49027ECF" w14:textId="77777777" w:rsidR="00AC06D2" w:rsidRDefault="00AC06D2" w:rsidP="006E0C5B">
      <w:pPr>
        <w:jc w:val="center"/>
        <w:rPr>
          <w:rFonts w:ascii="Times New Roman" w:hAnsi="Times New Roman" w:cs="Times New Roman"/>
          <w:b/>
          <w:sz w:val="24"/>
          <w:szCs w:val="24"/>
        </w:rPr>
      </w:pPr>
    </w:p>
    <w:p w14:paraId="3F1AD443" w14:textId="34A214BE" w:rsidR="000A7171" w:rsidRPr="00A16BF3" w:rsidRDefault="000A7171" w:rsidP="00AC06D2">
      <w:pPr>
        <w:rPr>
          <w:rFonts w:ascii="Times New Roman" w:hAnsi="Times New Roman" w:cs="Times New Roman"/>
          <w:b/>
          <w:sz w:val="24"/>
          <w:szCs w:val="24"/>
        </w:rPr>
      </w:pPr>
      <w:r w:rsidRPr="00A16BF3">
        <w:rPr>
          <w:rFonts w:ascii="Times New Roman" w:hAnsi="Times New Roman" w:cs="Times New Roman"/>
          <w:b/>
          <w:sz w:val="24"/>
          <w:szCs w:val="24"/>
        </w:rPr>
        <w:t xml:space="preserve">Stacionāra darba rezultatīvie rādītāji </w:t>
      </w:r>
      <w:r w:rsidR="00AC06D2">
        <w:rPr>
          <w:rFonts w:ascii="Times New Roman" w:hAnsi="Times New Roman" w:cs="Times New Roman"/>
          <w:b/>
          <w:sz w:val="24"/>
          <w:szCs w:val="24"/>
        </w:rPr>
        <w:t>laika posmā no 2015.-</w:t>
      </w:r>
      <w:r w:rsidRPr="00A16BF3">
        <w:rPr>
          <w:rFonts w:ascii="Times New Roman" w:hAnsi="Times New Roman" w:cs="Times New Roman"/>
          <w:b/>
          <w:sz w:val="24"/>
          <w:szCs w:val="24"/>
        </w:rPr>
        <w:t>2020.gad</w:t>
      </w:r>
      <w:r w:rsidR="00AC06D2">
        <w:rPr>
          <w:rFonts w:ascii="Times New Roman" w:hAnsi="Times New Roman" w:cs="Times New Roman"/>
          <w:b/>
          <w:sz w:val="24"/>
          <w:szCs w:val="24"/>
        </w:rPr>
        <w:t>am</w:t>
      </w:r>
    </w:p>
    <w:p w14:paraId="3C673277" w14:textId="77777777" w:rsidR="000A7171" w:rsidRPr="00A16BF3" w:rsidRDefault="000A7171" w:rsidP="000E2D46">
      <w:pPr>
        <w:spacing w:after="0" w:line="360" w:lineRule="auto"/>
        <w:rPr>
          <w:rFonts w:ascii="Times New Roman" w:hAnsi="Times New Roman" w:cs="Times New Roman"/>
        </w:rPr>
      </w:pPr>
      <w:r w:rsidRPr="00A16BF3">
        <w:rPr>
          <w:noProof/>
          <w:lang w:eastAsia="lv-LV"/>
        </w:rPr>
        <w:drawing>
          <wp:inline distT="0" distB="0" distL="0" distR="0" wp14:anchorId="3825D084" wp14:editId="1DBD3A7C">
            <wp:extent cx="6049396" cy="3586038"/>
            <wp:effectExtent l="19050" t="0" r="27554"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02DD89" w14:textId="77777777" w:rsidR="00A171BA" w:rsidRPr="00A16BF3" w:rsidRDefault="000A7171" w:rsidP="00A171BA">
      <w:pPr>
        <w:pStyle w:val="ListParagraph"/>
        <w:spacing w:after="0" w:line="360" w:lineRule="auto"/>
        <w:ind w:hanging="720"/>
        <w:jc w:val="both"/>
        <w:rPr>
          <w:rFonts w:ascii="Times New Roman" w:hAnsi="Times New Roman" w:cs="Times New Roman"/>
          <w:i/>
        </w:rPr>
      </w:pPr>
      <w:r w:rsidRPr="00A16BF3">
        <w:rPr>
          <w:rFonts w:ascii="Times New Roman" w:hAnsi="Times New Roman" w:cs="Times New Roman"/>
          <w:i/>
        </w:rPr>
        <w:t xml:space="preserve">1.attēls  Stacionārā ārstēto pacientu skaits dinamikā laika periodā no 2015. – 2020.gadam </w:t>
      </w:r>
    </w:p>
    <w:p w14:paraId="6C6D4CBD" w14:textId="194F0ADF" w:rsidR="000A7171" w:rsidRPr="00AC06D2" w:rsidRDefault="000A7171" w:rsidP="00AC06D2">
      <w:pPr>
        <w:pStyle w:val="ListParagraph"/>
        <w:spacing w:after="0" w:line="240" w:lineRule="auto"/>
        <w:ind w:hanging="11"/>
        <w:jc w:val="both"/>
        <w:rPr>
          <w:rFonts w:ascii="Times New Roman" w:hAnsi="Times New Roman" w:cs="Times New Roman"/>
          <w:i/>
          <w:sz w:val="16"/>
          <w:szCs w:val="16"/>
        </w:rPr>
      </w:pPr>
      <w:r w:rsidRPr="00AC06D2">
        <w:rPr>
          <w:rFonts w:ascii="Times New Roman" w:hAnsi="Times New Roman" w:cs="Times New Roman"/>
          <w:i/>
          <w:sz w:val="16"/>
          <w:szCs w:val="16"/>
        </w:rPr>
        <w:lastRenderedPageBreak/>
        <w:t xml:space="preserve">(saskaņā ar Līgumā ar NVD veiktajiem grozījumiem, precizēts minimālais plānotais pacientu skaits 2019. un 2020.gadā). Ārstēto pacientu skaits norādīts kopējais – gan ar NVD apmaksu, gan maksas pakalpojumu. 2020.gadā no kopējo ārstēto pacientu skaita ar NVD apmaksu bija 7591 pacienti, un maksas pakalpojumu bija 113 pacienti  (1% no kopējā ārstēto pacientu skaita). </w:t>
      </w:r>
    </w:p>
    <w:p w14:paraId="0860C97C" w14:textId="77777777" w:rsidR="00A171BA" w:rsidRPr="00A16BF3" w:rsidRDefault="00A171BA" w:rsidP="00A171BA">
      <w:pPr>
        <w:pStyle w:val="ListParagraph"/>
        <w:spacing w:after="0" w:line="360" w:lineRule="auto"/>
        <w:ind w:hanging="11"/>
        <w:jc w:val="both"/>
        <w:rPr>
          <w:rFonts w:ascii="Times New Roman" w:hAnsi="Times New Roman" w:cs="Times New Roman"/>
          <w:i/>
          <w:sz w:val="18"/>
          <w:szCs w:val="18"/>
        </w:rPr>
      </w:pPr>
    </w:p>
    <w:p w14:paraId="625FE44A" w14:textId="3F687D90" w:rsidR="00711E3B" w:rsidRPr="00A16BF3" w:rsidRDefault="000A7171" w:rsidP="000E2D46">
      <w:pPr>
        <w:spacing w:after="0" w:line="360" w:lineRule="auto"/>
        <w:jc w:val="both"/>
        <w:rPr>
          <w:rFonts w:ascii="Times New Roman" w:eastAsia="Calibri" w:hAnsi="Times New Roman" w:cs="Times New Roman"/>
          <w:sz w:val="24"/>
          <w:szCs w:val="24"/>
          <w:lang w:eastAsia="zh-CN"/>
        </w:rPr>
      </w:pPr>
      <w:r w:rsidRPr="00A16BF3">
        <w:rPr>
          <w:rFonts w:ascii="Times New Roman" w:hAnsi="Times New Roman" w:cs="Times New Roman"/>
          <w:i/>
          <w:noProof/>
          <w:sz w:val="12"/>
          <w:szCs w:val="12"/>
          <w:lang w:eastAsia="lv-LV"/>
        </w:rPr>
        <w:drawing>
          <wp:inline distT="0" distB="0" distL="0" distR="0" wp14:anchorId="26A5E684" wp14:editId="0C4A5BEF">
            <wp:extent cx="5731510" cy="3370037"/>
            <wp:effectExtent l="0" t="0" r="2540" b="1905"/>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734596" w14:textId="3CC50AF1" w:rsidR="00382123" w:rsidRPr="00A16BF3" w:rsidRDefault="00382123" w:rsidP="000E2D46">
      <w:pPr>
        <w:spacing w:after="0" w:line="360" w:lineRule="auto"/>
        <w:jc w:val="both"/>
        <w:rPr>
          <w:rFonts w:ascii="Times New Roman" w:hAnsi="Times New Roman" w:cs="Times New Roman"/>
          <w:i/>
        </w:rPr>
      </w:pPr>
      <w:r w:rsidRPr="00A16BF3">
        <w:rPr>
          <w:rFonts w:ascii="Times New Roman" w:hAnsi="Times New Roman" w:cs="Times New Roman"/>
          <w:i/>
        </w:rPr>
        <w:t>2.attēls  Stacionārā ārstēto pacientu skaita struktūra slimnīcas nodaļās 2020.gadā</w:t>
      </w:r>
    </w:p>
    <w:p w14:paraId="6E4193EB" w14:textId="77777777" w:rsidR="00D91BA6" w:rsidRPr="00A16BF3" w:rsidRDefault="00D91BA6" w:rsidP="000E2D46">
      <w:pPr>
        <w:spacing w:after="0" w:line="360" w:lineRule="auto"/>
        <w:jc w:val="both"/>
        <w:rPr>
          <w:rFonts w:ascii="Times New Roman" w:hAnsi="Times New Roman" w:cs="Times New Roman"/>
          <w:i/>
        </w:rPr>
      </w:pPr>
    </w:p>
    <w:p w14:paraId="70AE98CE" w14:textId="531DCF64" w:rsidR="000A7171" w:rsidRPr="00A16BF3" w:rsidRDefault="000A7171" w:rsidP="000E2D46">
      <w:pPr>
        <w:spacing w:after="0" w:line="360" w:lineRule="auto"/>
        <w:jc w:val="both"/>
        <w:rPr>
          <w:rFonts w:ascii="Times New Roman" w:eastAsia="Calibri" w:hAnsi="Times New Roman" w:cs="Times New Roman"/>
          <w:color w:val="000000"/>
          <w:sz w:val="24"/>
          <w:szCs w:val="24"/>
          <w:lang w:eastAsia="zh-CN"/>
        </w:rPr>
      </w:pPr>
      <w:r w:rsidRPr="00A16BF3">
        <w:rPr>
          <w:noProof/>
          <w:lang w:eastAsia="lv-LV"/>
        </w:rPr>
        <w:drawing>
          <wp:inline distT="0" distB="0" distL="0" distR="0" wp14:anchorId="39AA12AF" wp14:editId="2F7736EF">
            <wp:extent cx="5731510" cy="3238837"/>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30CD39" w14:textId="391539B6" w:rsidR="000A7171" w:rsidRPr="00A16BF3" w:rsidRDefault="00382123" w:rsidP="00A171BA">
      <w:pPr>
        <w:pStyle w:val="ListParagraph"/>
        <w:spacing w:after="0" w:line="360" w:lineRule="auto"/>
        <w:ind w:hanging="720"/>
        <w:jc w:val="both"/>
        <w:rPr>
          <w:rFonts w:ascii="Times New Roman" w:hAnsi="Times New Roman" w:cs="Times New Roman"/>
          <w:i/>
        </w:rPr>
      </w:pPr>
      <w:r w:rsidRPr="00A16BF3">
        <w:rPr>
          <w:rFonts w:ascii="Times New Roman" w:hAnsi="Times New Roman" w:cs="Times New Roman"/>
          <w:i/>
        </w:rPr>
        <w:t>3</w:t>
      </w:r>
      <w:r w:rsidR="000A7171" w:rsidRPr="00A16BF3">
        <w:rPr>
          <w:rFonts w:ascii="Times New Roman" w:hAnsi="Times New Roman" w:cs="Times New Roman"/>
          <w:i/>
        </w:rPr>
        <w:t>.attēls  Stacionārā izdarīto operāciju skaita struktūra 2020.gadā</w:t>
      </w:r>
    </w:p>
    <w:p w14:paraId="414F2FDF" w14:textId="77777777" w:rsidR="000A7171" w:rsidRPr="00A16BF3" w:rsidRDefault="000A7171" w:rsidP="000E2D46">
      <w:pPr>
        <w:pStyle w:val="ListParagraph"/>
        <w:spacing w:after="0" w:line="360" w:lineRule="auto"/>
        <w:ind w:left="1151"/>
        <w:jc w:val="both"/>
        <w:rPr>
          <w:rFonts w:ascii="Times New Roman" w:eastAsia="Calibri" w:hAnsi="Times New Roman" w:cs="Times New Roman"/>
          <w:color w:val="000000"/>
          <w:sz w:val="24"/>
          <w:szCs w:val="24"/>
          <w:lang w:eastAsia="zh-CN"/>
        </w:rPr>
      </w:pPr>
    </w:p>
    <w:p w14:paraId="71901231" w14:textId="6C76559D" w:rsidR="000A7171" w:rsidRPr="00AC06D2" w:rsidRDefault="00AC06D2" w:rsidP="000E2D46">
      <w:pPr>
        <w:spacing w:after="0" w:line="360" w:lineRule="auto"/>
        <w:jc w:val="both"/>
        <w:rPr>
          <w:rFonts w:ascii="Times New Roman" w:eastAsia="Calibri" w:hAnsi="Times New Roman" w:cs="Times New Roman"/>
          <w:b/>
          <w:bCs/>
          <w:color w:val="000000"/>
          <w:sz w:val="24"/>
          <w:szCs w:val="24"/>
          <w:lang w:eastAsia="zh-CN"/>
        </w:rPr>
      </w:pPr>
      <w:r w:rsidRPr="00AC06D2">
        <w:rPr>
          <w:rFonts w:ascii="Times New Roman" w:eastAsia="Calibri" w:hAnsi="Times New Roman" w:cs="Times New Roman"/>
          <w:b/>
          <w:bCs/>
          <w:color w:val="000000"/>
          <w:sz w:val="24"/>
          <w:szCs w:val="24"/>
          <w:lang w:eastAsia="zh-CN"/>
        </w:rPr>
        <w:t>P</w:t>
      </w:r>
      <w:r>
        <w:rPr>
          <w:rFonts w:ascii="Times New Roman" w:eastAsia="Calibri" w:hAnsi="Times New Roman" w:cs="Times New Roman"/>
          <w:b/>
          <w:bCs/>
          <w:color w:val="000000"/>
          <w:sz w:val="24"/>
          <w:szCs w:val="24"/>
          <w:lang w:eastAsia="zh-CN"/>
        </w:rPr>
        <w:t xml:space="preserve">ar </w:t>
      </w:r>
      <w:r w:rsidR="006D019E" w:rsidRPr="00AC06D2">
        <w:rPr>
          <w:rFonts w:ascii="Times New Roman" w:eastAsia="Calibri" w:hAnsi="Times New Roman" w:cs="Times New Roman"/>
          <w:b/>
          <w:bCs/>
          <w:color w:val="000000"/>
          <w:sz w:val="24"/>
          <w:szCs w:val="24"/>
          <w:lang w:eastAsia="zh-CN"/>
        </w:rPr>
        <w:t>2020.gadā</w:t>
      </w:r>
      <w:r>
        <w:rPr>
          <w:rFonts w:ascii="Times New Roman" w:eastAsia="Calibri" w:hAnsi="Times New Roman" w:cs="Times New Roman"/>
          <w:b/>
          <w:bCs/>
          <w:color w:val="000000"/>
          <w:sz w:val="24"/>
          <w:szCs w:val="24"/>
          <w:lang w:eastAsia="zh-CN"/>
        </w:rPr>
        <w:t xml:space="preserve"> </w:t>
      </w:r>
      <w:r w:rsidRPr="00AC06D2">
        <w:rPr>
          <w:rFonts w:ascii="Times New Roman" w:eastAsia="Calibri" w:hAnsi="Times New Roman" w:cs="Times New Roman"/>
          <w:b/>
          <w:bCs/>
          <w:color w:val="000000"/>
          <w:sz w:val="24"/>
          <w:szCs w:val="24"/>
          <w:lang w:eastAsia="zh-CN"/>
        </w:rPr>
        <w:t xml:space="preserve">stacionārā darba </w:t>
      </w:r>
      <w:r>
        <w:rPr>
          <w:rFonts w:ascii="Times New Roman" w:eastAsia="Calibri" w:hAnsi="Times New Roman" w:cs="Times New Roman"/>
          <w:b/>
          <w:bCs/>
          <w:color w:val="000000"/>
          <w:sz w:val="24"/>
          <w:szCs w:val="24"/>
          <w:lang w:eastAsia="zh-CN"/>
        </w:rPr>
        <w:t>rezultatīviem rādītājiem</w:t>
      </w:r>
      <w:r w:rsidRPr="00AC06D2">
        <w:rPr>
          <w:rFonts w:ascii="Times New Roman" w:eastAsia="Calibri" w:hAnsi="Times New Roman" w:cs="Times New Roman"/>
          <w:b/>
          <w:bCs/>
          <w:color w:val="000000"/>
          <w:sz w:val="24"/>
          <w:szCs w:val="24"/>
          <w:lang w:eastAsia="zh-CN"/>
        </w:rPr>
        <w:t xml:space="preserve"> 2020.gadā</w:t>
      </w:r>
    </w:p>
    <w:p w14:paraId="6B72FE94" w14:textId="77777777" w:rsidR="00AC06D2" w:rsidRDefault="00AC06D2" w:rsidP="00AC06D2">
      <w:pPr>
        <w:pStyle w:val="ListParagraph"/>
        <w:numPr>
          <w:ilvl w:val="0"/>
          <w:numId w:val="5"/>
        </w:numPr>
        <w:spacing w:after="0" w:line="360" w:lineRule="auto"/>
        <w:ind w:left="426" w:hanging="426"/>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stacionārā palīdzība sniegta 7702 pacientiem, par 2021 pacientiem mazāk kā 2019.gadā. Tas izskaidrojams ar iepriekšminētajiem apstākļiem – personāla slimības dēļ,  plānveida operāciju pārtraukšanu valsts līmenī, kā arī pacientu rīcību – griezties pēc palīdzības tikai galējā </w:t>
      </w:r>
      <w:r>
        <w:rPr>
          <w:rFonts w:ascii="Times New Roman" w:eastAsia="Calibri" w:hAnsi="Times New Roman" w:cs="Times New Roman"/>
          <w:color w:val="000000"/>
          <w:sz w:val="24"/>
          <w:szCs w:val="24"/>
          <w:lang w:eastAsia="zh-CN"/>
        </w:rPr>
        <w:lastRenderedPageBreak/>
        <w:t>nepieciešamībā, baidoties no Covid -19  infekcijas. Arī Neatliekamais medicīniskās palīdzības dienests kritiskāk vērtēja izsaukumu apmeklējuma nepieciešamību.</w:t>
      </w:r>
    </w:p>
    <w:p w14:paraId="359D649C" w14:textId="77777777" w:rsidR="00AC06D2" w:rsidRDefault="00AC06D2" w:rsidP="00AC06D2">
      <w:pPr>
        <w:pStyle w:val="ListParagraph"/>
        <w:numPr>
          <w:ilvl w:val="0"/>
          <w:numId w:val="5"/>
        </w:numPr>
        <w:spacing w:after="0" w:line="360" w:lineRule="auto"/>
        <w:ind w:left="426" w:hanging="426"/>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Dzemdību palīdzība sniegta 672 pacientēm, kas ir par 4 pacientēm jeb 0.59% mazāk kā 2019.gadā (676 pacientes).</w:t>
      </w:r>
    </w:p>
    <w:p w14:paraId="72297D6D" w14:textId="77777777" w:rsidR="00AC06D2" w:rsidRDefault="00AC06D2" w:rsidP="00AC06D2">
      <w:pPr>
        <w:pStyle w:val="ListParagraph"/>
        <w:numPr>
          <w:ilvl w:val="0"/>
          <w:numId w:val="5"/>
        </w:numPr>
        <w:spacing w:after="0" w:line="360" w:lineRule="auto"/>
        <w:ind w:left="426" w:hanging="426"/>
        <w:jc w:val="both"/>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Pacientu pavadītais laiks stacionārā  (gultasdienās, gadā) –  </w:t>
      </w:r>
      <w:r>
        <w:rPr>
          <w:rFonts w:ascii="Times New Roman" w:eastAsia="Calibri" w:hAnsi="Times New Roman" w:cs="Times New Roman"/>
          <w:color w:val="000000"/>
          <w:sz w:val="24"/>
          <w:szCs w:val="24"/>
          <w:lang w:eastAsia="zh-CN"/>
        </w:rPr>
        <w:t xml:space="preserve">51 738, </w:t>
      </w:r>
      <w:r>
        <w:rPr>
          <w:rFonts w:ascii="Times New Roman" w:hAnsi="Times New Roman" w:cs="Times New Roman"/>
          <w:sz w:val="24"/>
          <w:szCs w:val="24"/>
        </w:rPr>
        <w:t>vidējā gultas slodze</w:t>
      </w:r>
      <w:r>
        <w:rPr>
          <w:rFonts w:ascii="Times New Roman" w:eastAsia="Calibri" w:hAnsi="Times New Roman" w:cs="Times New Roman"/>
          <w:color w:val="000000"/>
          <w:sz w:val="24"/>
          <w:szCs w:val="24"/>
          <w:lang w:eastAsia="zh-CN"/>
        </w:rPr>
        <w:t xml:space="preserve">  70,56%, jeb par 8,56% mazāk</w:t>
      </w:r>
    </w:p>
    <w:p w14:paraId="3CBDA6C0" w14:textId="77777777" w:rsidR="00AC06D2" w:rsidRDefault="00AC06D2" w:rsidP="00AC06D2">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eastAsia="Calibri" w:hAnsi="Times New Roman" w:cs="Times New Roman"/>
          <w:color w:val="000000"/>
          <w:sz w:val="24"/>
          <w:szCs w:val="24"/>
          <w:lang w:eastAsia="zh-CN"/>
        </w:rPr>
        <w:t>vidējais ārstēšanas ilgums – 6,7 dienas ir saglabājies iepriekšējā līmenī, kas norāda, ka ārstnieciskā procesa efektivitāte nav mazinājusies;</w:t>
      </w:r>
    </w:p>
    <w:p w14:paraId="52B2D9CF" w14:textId="77777777" w:rsidR="00AC06D2" w:rsidRDefault="00AC06D2" w:rsidP="00AC06D2">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veiktas 1348 operācijas t.i. par 15,9% mazāk, bet letalitāte operācijās ir samazinājusies par 0,1%</w:t>
      </w:r>
    </w:p>
    <w:p w14:paraId="325AADAC" w14:textId="77777777" w:rsidR="00AC06D2" w:rsidRPr="00A9528F" w:rsidRDefault="00AC06D2" w:rsidP="00AC06D2">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letalitāte stacionētajiem pacientiem ir palielinājusies par 0,4%, kas ir saistīts ar COVID-19 infekcijas smago saslimšanu </w:t>
      </w:r>
      <w:r w:rsidRPr="00A9528F">
        <w:rPr>
          <w:rFonts w:ascii="Times New Roman" w:hAnsi="Times New Roman" w:cs="Times New Roman"/>
          <w:sz w:val="24"/>
          <w:szCs w:val="24"/>
        </w:rPr>
        <w:t>gadījumu skaita pieaugumu un ar to saistīto mirstību.</w:t>
      </w:r>
    </w:p>
    <w:p w14:paraId="5BC5604C" w14:textId="77777777" w:rsidR="00AC06D2" w:rsidRDefault="00AC06D2" w:rsidP="00AC06D2">
      <w:pPr>
        <w:widowControl w:val="0"/>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r w:rsidRPr="00A9528F">
        <w:rPr>
          <w:rFonts w:ascii="Times New Roman" w:hAnsi="Times New Roman" w:cs="Times New Roman"/>
          <w:sz w:val="24"/>
          <w:szCs w:val="24"/>
        </w:rPr>
        <w:t>Visa pārskata perioda laikā tiek veikta nodaļu pacientu plūsmu ikdienas monitorēšana, lai sniegtu operatīvo informāciju Nacionālajam veselības dienestam un Katastrofu medicīnas centram par brīvajām gultasvietām pa profiliem, kas secīgi sniedz arī objektīvu informāciju par personāla noslodzi nodaļās, un sniedz iespēju pieņemt objektīvus lēmumus par slodzēm attiecīgajās maiņās, ņemot vērā pacientu plūsmu apjomus un to mainību. Pacientu</w:t>
      </w:r>
      <w:r>
        <w:rPr>
          <w:rFonts w:ascii="Times New Roman" w:hAnsi="Times New Roman" w:cs="Times New Roman"/>
          <w:sz w:val="24"/>
          <w:szCs w:val="24"/>
        </w:rPr>
        <w:t xml:space="preserve"> skaitu monitorēšana sniedz iespēju harmonizēt personāla noslodzi atbilstoši vispārpieņemtajiem personāla noslodzes principiem, proti, pacientu skaits uz vienu māsu, māsu palīgu, kā arī kontrolēt gultu noslodzi un apriti, kas palīdz nodrošināt pacientu aprūpes prasības. Vienlaicīgi tiek sekots līdzi vidējam gultasdienu skaitam.</w:t>
      </w:r>
    </w:p>
    <w:p w14:paraId="3E0C2205" w14:textId="77777777" w:rsidR="00AC06D2" w:rsidRDefault="00AC06D2" w:rsidP="00AC06D2">
      <w:pPr>
        <w:spacing w:after="0" w:line="360" w:lineRule="auto"/>
        <w:jc w:val="both"/>
        <w:rPr>
          <w:rFonts w:ascii="Times New Roman" w:hAnsi="Times New Roman" w:cs="Times New Roman"/>
          <w:i/>
          <w:iCs/>
          <w:sz w:val="24"/>
          <w:szCs w:val="24"/>
        </w:rPr>
      </w:pPr>
    </w:p>
    <w:p w14:paraId="7281EE8F" w14:textId="246F14D6" w:rsidR="00AC06D2" w:rsidRPr="00E735D4" w:rsidRDefault="00AC06D2" w:rsidP="00E735D4">
      <w:pPr>
        <w:pStyle w:val="Heading3"/>
        <w:numPr>
          <w:ilvl w:val="2"/>
          <w:numId w:val="4"/>
        </w:numPr>
        <w:ind w:left="567"/>
        <w:rPr>
          <w:rFonts w:ascii="Times New Roman" w:eastAsia="Calibri" w:hAnsi="Times New Roman" w:cs="Times New Roman"/>
          <w:i/>
          <w:iCs/>
          <w:color w:val="000000"/>
          <w:lang w:eastAsia="zh-CN"/>
        </w:rPr>
      </w:pPr>
      <w:bookmarkStart w:id="20" w:name="_Toc67547271"/>
      <w:r w:rsidRPr="00E735D4">
        <w:rPr>
          <w:rFonts w:ascii="Times New Roman" w:hAnsi="Times New Roman" w:cs="Times New Roman"/>
          <w:i/>
          <w:iCs/>
        </w:rPr>
        <w:t>Kvalitātes vadības pasākumi</w:t>
      </w:r>
      <w:bookmarkEnd w:id="20"/>
    </w:p>
    <w:p w14:paraId="7DA9CE7E" w14:textId="77777777" w:rsidR="00AC06D2" w:rsidRDefault="00AC06D2" w:rsidP="00AC06D2">
      <w:pPr>
        <w:suppressAutoHyphens/>
        <w:spacing w:after="0" w:line="360" w:lineRule="auto"/>
        <w:ind w:firstLine="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Īstenojot 2020.gada kvalitātes vadības pasākumu plānu, kvalitātes vadības sistēmas pilnveidošanai slimnīcā tika izstrādāti vairāki procesi, kas bija plānoti, un saskaņā ar ārkārtas situāciju, arī neplānotie – ar COVID-19 saistīto operatīvo darbību procesi (kārtības): </w:t>
      </w:r>
    </w:p>
    <w:p w14:paraId="7663C35D"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Medicīnisko dokumentu lietvedības un pacientiem izsniedzamo dokumentu sagatavošanas un kontroles kārtība;</w:t>
      </w:r>
    </w:p>
    <w:p w14:paraId="6C4AAFE8"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Patologanatomisko izmeklējumu veikšanas kārtība;</w:t>
      </w:r>
    </w:p>
    <w:p w14:paraId="084B517E"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Jēkabpils reģionālās slimnīcas gultu pārprofilēšanas un ar COVID-19 inficētu pacientu uzņemšana kārtība;</w:t>
      </w:r>
    </w:p>
    <w:p w14:paraId="4C820C24"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Ambulatoro pakalpojumu sniegšana COVID-19 pacientiem;</w:t>
      </w:r>
    </w:p>
    <w:p w14:paraId="341891DA"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Kārtība par ārstniecības iestāžu ārstniecības personu, ārstniecības atbalsta personu un darbinieku vakcināciju pret Covid-19;</w:t>
      </w:r>
    </w:p>
    <w:p w14:paraId="2DA02AB1"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Medicīnisko ierīču ekspluatācijas sistēma;</w:t>
      </w:r>
    </w:p>
    <w:p w14:paraId="7492A19D"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Sociālā atbalsta sniegšanas process;</w:t>
      </w:r>
    </w:p>
    <w:p w14:paraId="384EF1A8"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Ārkārtas iepirkumu organizēšanas kārtība;</w:t>
      </w:r>
    </w:p>
    <w:p w14:paraId="479989FB" w14:textId="77777777" w:rsidR="00AC06D2" w:rsidRDefault="00AC06D2" w:rsidP="00AC06D2">
      <w:pPr>
        <w:numPr>
          <w:ilvl w:val="1"/>
          <w:numId w:val="2"/>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kā arī veikti dokumentu un darbības auditi, lai pilnveidotu dienas stacionāra un īslaicīgās ķirurģijas darbību, rehabilitācijas pakalpojumu kvalitāti, ķirurģijas un anestēzijas risku mazināšanu. </w:t>
      </w:r>
    </w:p>
    <w:p w14:paraId="684F34C1" w14:textId="77777777" w:rsidR="00AC06D2" w:rsidRDefault="00AC06D2" w:rsidP="00AC06D2">
      <w:pPr>
        <w:suppressAutoHyphens/>
        <w:spacing w:after="0" w:line="360" w:lineRule="auto"/>
        <w:ind w:left="431" w:firstLine="289"/>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Ir uzsākta darbība pie  vairāku procesu kvalitātes uzlabošanas, kā piemēram:</w:t>
      </w:r>
    </w:p>
    <w:p w14:paraId="41A7B065" w14:textId="77777777" w:rsidR="00AC06D2" w:rsidRDefault="00AC06D2" w:rsidP="00AC06D2">
      <w:pPr>
        <w:numPr>
          <w:ilvl w:val="1"/>
          <w:numId w:val="3"/>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obligāto veselības pārbaudes pakalpojumu sniegšanas kārtības izmaiņa, lai nodrošinātu visām pacientu grupām pakalpojumu saņemšanu  noteiktajā (reģistrētā) laikā;</w:t>
      </w:r>
    </w:p>
    <w:p w14:paraId="5926FC30" w14:textId="77777777" w:rsidR="00AC06D2" w:rsidRDefault="00AC06D2" w:rsidP="00AC06D2">
      <w:pPr>
        <w:numPr>
          <w:ilvl w:val="1"/>
          <w:numId w:val="3"/>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ir veikta Rehabilitācijas un fizikālās medicīnas nodaļas procesu analīze un uzsākta darbība pakalpojuma gaidīšanas laika un procesu izmaksu samazināšanai;</w:t>
      </w:r>
    </w:p>
    <w:p w14:paraId="47A5B40D" w14:textId="77777777" w:rsidR="00AC06D2" w:rsidRDefault="00AC06D2" w:rsidP="00AC06D2">
      <w:pPr>
        <w:numPr>
          <w:ilvl w:val="1"/>
          <w:numId w:val="3"/>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ir izvērtēti riski ķirurģijā un anestēzijā un uzsākta risku mazinošo pasākumu izstrāde;</w:t>
      </w:r>
    </w:p>
    <w:p w14:paraId="3AF91ECE" w14:textId="77777777" w:rsidR="00AC06D2" w:rsidRDefault="00AC06D2" w:rsidP="00AC06D2">
      <w:pPr>
        <w:numPr>
          <w:ilvl w:val="1"/>
          <w:numId w:val="3"/>
        </w:numPr>
        <w:tabs>
          <w:tab w:val="left" w:pos="-360"/>
        </w:tabs>
        <w:suppressAutoHyphens/>
        <w:spacing w:after="0" w:line="360" w:lineRule="auto"/>
        <w:ind w:left="431" w:hanging="431"/>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Uroloģijas nodaļā izstrādāts un prezentēts algoritms un  klīniskās vadlīnijas ātrākai un efektīvākai akūto veselības problēmu diagnosticēšanai un ārstēšanas uzsākšanai;</w:t>
      </w:r>
    </w:p>
    <w:p w14:paraId="021F94A4" w14:textId="77777777" w:rsidR="00AC06D2" w:rsidRDefault="00AC06D2" w:rsidP="00AC06D2">
      <w:pPr>
        <w:widowControl w:val="0"/>
        <w:numPr>
          <w:ilvl w:val="1"/>
          <w:numId w:val="3"/>
        </w:numPr>
        <w:tabs>
          <w:tab w:val="left" w:pos="-360"/>
        </w:tabs>
        <w:autoSpaceDE w:val="0"/>
        <w:autoSpaceDN w:val="0"/>
        <w:adjustRightInd w:val="0"/>
        <w:spacing w:after="0" w:line="360" w:lineRule="auto"/>
        <w:ind w:left="431" w:hanging="43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Aktualizēti Iekšējie kārtības noteikumi un Pretkorupcijas pasākumu plāns, izstrādāti Iekšējie trauksmes celšanas noteikumi, pilnveidoti darba līgumi. </w:t>
      </w:r>
    </w:p>
    <w:p w14:paraId="1095F5DA" w14:textId="77777777" w:rsidR="00AC06D2" w:rsidRDefault="00AC06D2" w:rsidP="00AC06D2">
      <w:pPr>
        <w:widowControl w:val="0"/>
        <w:autoSpaceDE w:val="0"/>
        <w:autoSpaceDN w:val="0"/>
        <w:adjustRightInd w:val="0"/>
        <w:spacing w:after="0" w:line="360" w:lineRule="auto"/>
        <w:ind w:firstLine="431"/>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zh-CN"/>
        </w:rPr>
        <w:t xml:space="preserve">Procesu aktualizācijā vai izstrādē tiek pielietota </w:t>
      </w:r>
      <w:r>
        <w:rPr>
          <w:rFonts w:ascii="Times New Roman" w:eastAsia="Calibri" w:hAnsi="Times New Roman" w:cs="Times New Roman"/>
          <w:i/>
          <w:iCs/>
          <w:color w:val="000000"/>
          <w:sz w:val="24"/>
          <w:szCs w:val="24"/>
          <w:lang w:eastAsia="zh-CN"/>
        </w:rPr>
        <w:t>Leen</w:t>
      </w:r>
      <w:r>
        <w:rPr>
          <w:rFonts w:ascii="Times New Roman" w:eastAsia="Calibri" w:hAnsi="Times New Roman" w:cs="Times New Roman"/>
          <w:color w:val="000000"/>
          <w:sz w:val="24"/>
          <w:szCs w:val="24"/>
          <w:lang w:eastAsia="zh-CN"/>
        </w:rPr>
        <w:t xml:space="preserve"> metode, samazinot vai izslēdzot darbības, kas nesniedz pievienoto vērtību un veicina ātrāku procesa īstenošanu.</w:t>
      </w:r>
    </w:p>
    <w:p w14:paraId="6C1E2E71" w14:textId="77777777" w:rsidR="00511238" w:rsidRPr="00A16BF3" w:rsidRDefault="00511238" w:rsidP="000E2D46">
      <w:pPr>
        <w:pStyle w:val="ListParagraph"/>
        <w:spacing w:after="0" w:line="360" w:lineRule="auto"/>
        <w:jc w:val="both"/>
        <w:rPr>
          <w:rFonts w:ascii="Times New Roman" w:hAnsi="Times New Roman" w:cs="Times New Roman"/>
          <w:sz w:val="24"/>
          <w:szCs w:val="24"/>
        </w:rPr>
      </w:pPr>
    </w:p>
    <w:p w14:paraId="5EA1D26D" w14:textId="08D8D349" w:rsidR="00671EDD" w:rsidRPr="000856C8" w:rsidRDefault="00671EDD" w:rsidP="000856C8">
      <w:pPr>
        <w:pStyle w:val="Heading2"/>
        <w:numPr>
          <w:ilvl w:val="1"/>
          <w:numId w:val="4"/>
        </w:numPr>
        <w:ind w:left="426"/>
        <w:rPr>
          <w:rFonts w:ascii="Times New Roman" w:hAnsi="Times New Roman" w:cs="Times New Roman"/>
          <w:b/>
          <w:bCs/>
        </w:rPr>
      </w:pPr>
      <w:bookmarkStart w:id="21" w:name="_Hlk45706501"/>
      <w:bookmarkStart w:id="22" w:name="_Toc67547272"/>
      <w:r w:rsidRPr="000856C8">
        <w:rPr>
          <w:rFonts w:ascii="Times New Roman" w:hAnsi="Times New Roman" w:cs="Times New Roman"/>
          <w:b/>
          <w:bCs/>
        </w:rPr>
        <w:t>Infrastruktūras un IT infrastruktūras attīstīšana</w:t>
      </w:r>
      <w:bookmarkEnd w:id="21"/>
      <w:r w:rsidRPr="000856C8">
        <w:rPr>
          <w:rFonts w:ascii="Times New Roman" w:hAnsi="Times New Roman" w:cs="Times New Roman"/>
          <w:b/>
          <w:bCs/>
        </w:rPr>
        <w:t>:</w:t>
      </w:r>
      <w:bookmarkEnd w:id="22"/>
    </w:p>
    <w:p w14:paraId="3A8488D1" w14:textId="420B9EE9" w:rsidR="00700E8A" w:rsidRPr="00A16BF3" w:rsidRDefault="00700E8A" w:rsidP="000856C8">
      <w:pPr>
        <w:spacing w:after="0" w:line="360" w:lineRule="auto"/>
        <w:ind w:firstLine="426"/>
        <w:jc w:val="both"/>
        <w:rPr>
          <w:rFonts w:ascii="Times New Roman" w:hAnsi="Times New Roman" w:cs="Times New Roman"/>
          <w:b/>
          <w:bCs/>
          <w:sz w:val="24"/>
          <w:szCs w:val="24"/>
        </w:rPr>
      </w:pPr>
      <w:r w:rsidRPr="00A16BF3">
        <w:rPr>
          <w:rFonts w:ascii="Times New Roman" w:hAnsi="Times New Roman" w:cs="Times New Roman"/>
          <w:b/>
          <w:bCs/>
          <w:sz w:val="24"/>
          <w:szCs w:val="24"/>
        </w:rPr>
        <w:t>Mērķi:</w:t>
      </w:r>
    </w:p>
    <w:p w14:paraId="4B5E7267" w14:textId="77777777" w:rsidR="00700E8A" w:rsidRPr="00A16BF3" w:rsidRDefault="00700E8A" w:rsidP="000856C8">
      <w:pPr>
        <w:pStyle w:val="ListParagraph"/>
        <w:numPr>
          <w:ilvl w:val="0"/>
          <w:numId w:val="15"/>
        </w:numPr>
        <w:spacing w:after="0" w:line="360" w:lineRule="auto"/>
        <w:ind w:left="426" w:hanging="426"/>
        <w:jc w:val="both"/>
        <w:rPr>
          <w:rFonts w:ascii="Times New Roman" w:hAnsi="Times New Roman" w:cs="Times New Roman"/>
          <w:i/>
          <w:iCs/>
          <w:sz w:val="24"/>
          <w:szCs w:val="24"/>
        </w:rPr>
      </w:pPr>
      <w:r w:rsidRPr="00A16BF3">
        <w:rPr>
          <w:rFonts w:ascii="Times New Roman" w:hAnsi="Times New Roman" w:cs="Times New Roman"/>
          <w:i/>
          <w:iCs/>
          <w:sz w:val="24"/>
          <w:szCs w:val="24"/>
        </w:rPr>
        <w:t>Līdz 2020.gada beigām  Horizon Web  ieviest elektroniskā darba laika uzskaiti normālā darba laika veicējiem</w:t>
      </w:r>
    </w:p>
    <w:p w14:paraId="78F7579D" w14:textId="77777777" w:rsidR="009459DC" w:rsidRPr="00A16BF3" w:rsidRDefault="009459DC" w:rsidP="000856C8">
      <w:pPr>
        <w:pStyle w:val="teksts"/>
        <w:numPr>
          <w:ilvl w:val="0"/>
          <w:numId w:val="15"/>
        </w:numPr>
        <w:ind w:left="426" w:hanging="426"/>
        <w:rPr>
          <w:i/>
          <w:iCs/>
        </w:rPr>
      </w:pPr>
      <w:r w:rsidRPr="00A16BF3">
        <w:rPr>
          <w:i/>
          <w:iCs/>
        </w:rPr>
        <w:t>darba vides apstākļu uzlabošana budžeta iespēju robežās (lielākie darbi ir virtuves, stacionāra jumta remonti, teritorijas ceļu remontdarbi, kā arī katlamājas vecā skursteņa demontāža);</w:t>
      </w:r>
    </w:p>
    <w:p w14:paraId="43E9228A" w14:textId="77777777" w:rsidR="009459DC" w:rsidRPr="00A16BF3" w:rsidRDefault="009459DC" w:rsidP="000856C8">
      <w:pPr>
        <w:pStyle w:val="teksts"/>
        <w:numPr>
          <w:ilvl w:val="0"/>
          <w:numId w:val="15"/>
        </w:numPr>
        <w:ind w:left="426" w:hanging="426"/>
      </w:pPr>
      <w:r w:rsidRPr="00A16BF3">
        <w:rPr>
          <w:i/>
          <w:iCs/>
        </w:rPr>
        <w:t>investīcijas infrastruktūras uzlabošanā, tehnoloģiju iegāde un IT tehnoloģiju atjaunošana atbilstoši VM iesniegtajam investīciju plānam infrastruktūras uzlabošanai</w:t>
      </w:r>
      <w:r w:rsidRPr="00A16BF3">
        <w:t>.</w:t>
      </w:r>
    </w:p>
    <w:p w14:paraId="745806A7" w14:textId="77777777" w:rsidR="00AC06D2" w:rsidRDefault="00AC06D2" w:rsidP="00AC06D2">
      <w:pPr>
        <w:pStyle w:val="teksts"/>
        <w:ind w:firstLine="426"/>
        <w:rPr>
          <w:rFonts w:eastAsia="Calibri"/>
          <w:color w:val="000000"/>
          <w:lang w:eastAsia="zh-CN"/>
        </w:rPr>
      </w:pPr>
    </w:p>
    <w:p w14:paraId="4544515B" w14:textId="0E4125E9" w:rsidR="00AC06D2" w:rsidRPr="00A9528F" w:rsidRDefault="00AC06D2" w:rsidP="00AC06D2">
      <w:pPr>
        <w:pStyle w:val="teksts"/>
        <w:ind w:firstLine="426"/>
        <w:rPr>
          <w:rFonts w:eastAsia="Calibri"/>
          <w:color w:val="000000"/>
          <w:lang w:eastAsia="zh-CN"/>
        </w:rPr>
      </w:pPr>
      <w:r>
        <w:rPr>
          <w:rFonts w:eastAsia="Calibri"/>
          <w:color w:val="000000"/>
          <w:lang w:eastAsia="zh-CN"/>
        </w:rPr>
        <w:t xml:space="preserve">Kapitālsabiedrības visās nodaļās ir veikts </w:t>
      </w:r>
      <w:r w:rsidRPr="00A9528F">
        <w:rPr>
          <w:rFonts w:eastAsia="Calibri"/>
          <w:color w:val="000000"/>
          <w:lang w:eastAsia="zh-CN"/>
        </w:rPr>
        <w:t xml:space="preserve">darba vides risku faktoru novērtējums, kurā būtiski darba aizsardzības pārkāpumi nav konstatēti. Lai uzlabotu darba vides apstākļus, tika veikti iekšējie remonti, tomēr COVID-19 radīto apstākļu dēļ, kas no pacientu veselības aprūpes pakalpojumu nodrošināšanas viedokļa bija prioritāri, aizkavējās plānotie katlumājas skursteņa demontāžas un virtuves jumta remonta darbi. </w:t>
      </w:r>
    </w:p>
    <w:p w14:paraId="68F1E1BA" w14:textId="77777777" w:rsidR="00AC06D2" w:rsidRDefault="00AC06D2" w:rsidP="00AC06D2">
      <w:pPr>
        <w:pStyle w:val="teksts"/>
        <w:ind w:firstLine="426"/>
      </w:pPr>
      <w:r>
        <w:rPr>
          <w:rFonts w:eastAsia="Calibri"/>
          <w:color w:val="000000"/>
          <w:lang w:eastAsia="zh-CN"/>
        </w:rPr>
        <w:t xml:space="preserve">Veiksmīgi turpināta ERAF līdzfinansētā projekta “Stacionārās un ambulatorās veselības aprūpes infrastruktūras uzlabošana SIA “Jēkabpils reģionālā slimnīca”, uzlabojot kvalitatīvu </w:t>
      </w:r>
      <w:r>
        <w:rPr>
          <w:rFonts w:eastAsia="Calibri"/>
          <w:color w:val="000000"/>
          <w:lang w:eastAsia="zh-CN"/>
        </w:rPr>
        <w:lastRenderedPageBreak/>
        <w:t>veselības aprūpes pakalpojumu pieejamību”</w:t>
      </w:r>
      <w:r>
        <w:rPr>
          <w:rFonts w:eastAsia="Calibri"/>
          <w:color w:val="000000"/>
          <w:sz w:val="20"/>
          <w:szCs w:val="20"/>
          <w:lang w:eastAsia="zh-CN"/>
        </w:rPr>
        <w:t xml:space="preserve"> </w:t>
      </w:r>
      <w:r>
        <w:rPr>
          <w:rFonts w:eastAsia="Calibri"/>
          <w:color w:val="000000"/>
          <w:lang w:eastAsia="zh-CN"/>
        </w:rPr>
        <w:t xml:space="preserve">Nr.9.3.2.0/17/i/011 īstenošana. 2020.gada I ceturksnī projekta darbības „Tehnoloģiju iegāde, piegāde un montāža”, pēc līguma noslēgšanas, ir piegādāta pārvietojama digitāla rentgena iekārta, veikta arī darbinieku apmācība. 2020.gada jūnijā ir pabeigta projekta darbību „Jēkabpils reģionālās slimnīcas Ambulatorās daļas pārbūve” un „Jēkabpils reģionālās slimnīcas stacionāra 1.stāva pārbūve” ietvaros plānoto tehnisko projektu izstrāde un saņemta Jēkabpils pilsētas būvvaldes atzīme par projektēšanas nosacījumu izpildi. </w:t>
      </w:r>
    </w:p>
    <w:p w14:paraId="226D9C53" w14:textId="77777777" w:rsidR="00AC06D2" w:rsidRDefault="00AC06D2" w:rsidP="00AC06D2">
      <w:pPr>
        <w:pStyle w:val="teksts"/>
        <w:ind w:firstLine="426"/>
      </w:pPr>
      <w:r>
        <w:rPr>
          <w:rFonts w:eastAsia="Calibri"/>
          <w:color w:val="000000"/>
          <w:lang w:eastAsia="zh-CN"/>
        </w:rPr>
        <w:t>Aprīlī izsludināts iepirkums “Rentgena iekārtu piegāde un uzstādīšana”, rezultātā saņemti trīs pretendentu piedāvājumi. Iepirkuma komisija pieņēma lēmumu slēgt līgumu ar labāko pretendentu, līguma cena EUR 356 500. 2020.gada septembrī notika atklāta konkursa “Datortomogrāfa piegāde un uzstādīšana” saņemto piedāvājumu atvēršana. SIA “Jēkabpils reģionālā slimnīca” noslēdza līgumu par datortomogrāfa piegādi. Līguma cena EUR 400073,00. Iepirkuma komisija izvērtēja iepirkuma “Par tiesībām veikt telpu pārbūves darbus SIA “Jēkabpils reģionālā slimnīca”” rezultātā saņemtos piedāvājumus un 2020.gada 8.decembrī tika noslēgts līgums par būvdarbu veikšanu.</w:t>
      </w:r>
    </w:p>
    <w:p w14:paraId="6212EA60" w14:textId="77777777" w:rsidR="00AC06D2" w:rsidRPr="00AC06D2" w:rsidRDefault="00AC06D2" w:rsidP="00AC06D2">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AC06D2">
        <w:rPr>
          <w:rFonts w:ascii="Times New Roman" w:eastAsia="Calibri" w:hAnsi="Times New Roman" w:cs="Times New Roman"/>
          <w:sz w:val="24"/>
          <w:szCs w:val="24"/>
        </w:rPr>
        <w:t>S</w:t>
      </w:r>
      <w:r w:rsidRPr="00AC06D2">
        <w:rPr>
          <w:rFonts w:ascii="Times New Roman" w:eastAsia="Calibri" w:hAnsi="Times New Roman" w:cs="Times New Roman"/>
          <w:sz w:val="24"/>
          <w:szCs w:val="24"/>
          <w:lang w:eastAsia="zh-CN"/>
        </w:rPr>
        <w:t>adarbības ERAF projekta Nr. 9.3.2.0/18/I/009 "Līvānu un Jēkabpils slimnīcu stacionārās un ambulatorās infrastruktūras attīstība kvalitatīvu veselības aprūpes pakalpojumu pieejamībai”</w:t>
      </w:r>
      <w:r w:rsidRPr="00AC06D2">
        <w:rPr>
          <w:rFonts w:ascii="Times New Roman" w:eastAsia="Calibri" w:hAnsi="Times New Roman" w:cs="Times New Roman"/>
          <w:color w:val="000000"/>
          <w:sz w:val="24"/>
          <w:szCs w:val="24"/>
          <w:lang w:eastAsia="zh-CN"/>
        </w:rPr>
        <w:t xml:space="preserve"> ietvaros iegādātas sekojošas iekārtas - 1 ledusskapis-saldētava asins kabinetam, 20 perfuzori stacionāra abām terapijas nodaļām, uzņemšanas, bērnu, dzemdību un jaundzimušo intensīvās terapijas nodaļai, divi elektrokardiogrāfi (1.un 2.terapijas nodaļai), viens elektrokardiogrāfs uzņemšanas nodaļai, pacientu transportēšanas guļrati, laparaskopisko instrumentu komplekti operāciju blokam, kā arī daļēji ķirurģisko un ginekoloģisko instrumentu komplekti operāciju blokam, kā arī no ietaupītiem finanšu līdzekļiem iegādāts otolaringologa pacientu krēsls (ar kapitālsabiedrības līdzfinansējumu). Kopā sabiedrības finansējuma daļa </w:t>
      </w:r>
      <w:r w:rsidRPr="00AC06D2">
        <w:rPr>
          <w:rFonts w:ascii="Times New Roman" w:hAnsi="Times New Roman" w:cs="Times New Roman"/>
          <w:color w:val="000000"/>
          <w:sz w:val="24"/>
          <w:szCs w:val="24"/>
          <w:shd w:val="clear" w:color="auto" w:fill="FFFFFF"/>
          <w:lang w:eastAsia="zh-CN"/>
        </w:rPr>
        <w:t xml:space="preserve">sadarbības projektā ir 52 759.63 EUR. </w:t>
      </w:r>
      <w:r w:rsidRPr="00AC06D2">
        <w:rPr>
          <w:rFonts w:ascii="Times New Roman" w:hAnsi="Times New Roman" w:cs="Times New Roman"/>
          <w:sz w:val="24"/>
          <w:szCs w:val="24"/>
          <w:shd w:val="clear" w:color="auto" w:fill="FFFFFF"/>
        </w:rPr>
        <w:t xml:space="preserve">Iekārtu iepirkumi ir beigušies, tiek veiktas pēdējās pārbaudes un izlietoto finanšu līdzekļu salīdzināšana. Nākošajā  gadā kā prioritāte ir sadarbības veidošana kvalitātes jautājumos. </w:t>
      </w:r>
    </w:p>
    <w:p w14:paraId="0AB656FF" w14:textId="77777777" w:rsidR="00AC06D2" w:rsidRPr="00A9528F" w:rsidRDefault="00AC06D2" w:rsidP="00AC06D2">
      <w:pPr>
        <w:pStyle w:val="teksts"/>
        <w:ind w:firstLine="426"/>
      </w:pPr>
      <w:r>
        <w:t xml:space="preserve">Horizon Web  daļēji ieviesta elektroniskā darba laika uzskaite normālā darba laika veicējiem, kas atvieglo darba laika tabeļu izveidi, kontroli, uzskaiti. Tomēr, lai efektīvāk izmantotu visas programmas iespējas, turpinās </w:t>
      </w:r>
      <w:r w:rsidRPr="00A9528F">
        <w:t>Personāla nodaļas veiktā informācijas ievades un analīzes apguve, un 2021.gadā plānota pieredzes apgūšana citās slimnīcās.</w:t>
      </w:r>
    </w:p>
    <w:p w14:paraId="10341A41" w14:textId="77777777" w:rsidR="00AC06D2" w:rsidRPr="00AC06D2" w:rsidRDefault="00AC06D2" w:rsidP="00AC06D2">
      <w:pPr>
        <w:spacing w:after="0" w:line="360" w:lineRule="auto"/>
        <w:ind w:firstLine="426"/>
        <w:jc w:val="both"/>
        <w:rPr>
          <w:rFonts w:ascii="Times New Roman" w:hAnsi="Times New Roman" w:cs="Times New Roman"/>
          <w:sz w:val="24"/>
          <w:szCs w:val="24"/>
        </w:rPr>
      </w:pPr>
      <w:r w:rsidRPr="00AC06D2">
        <w:rPr>
          <w:rFonts w:ascii="Times New Roman" w:hAnsi="Times New Roman" w:cs="Times New Roman"/>
          <w:sz w:val="24"/>
          <w:szCs w:val="24"/>
        </w:rPr>
        <w:t>Pēc veiktajām investīcijām infrastruktūras attīstībā, izmaiņas medicīnas iekārtu un citu infrastruktūras elementu vērtību izmaiņas ir apkopotas 1. un 2.tabulā.</w:t>
      </w:r>
    </w:p>
    <w:p w14:paraId="682E91A4" w14:textId="77777777" w:rsidR="00AC06D2" w:rsidRDefault="00AC06D2">
      <w:pPr>
        <w:rPr>
          <w:rFonts w:ascii="Times New Roman" w:hAnsi="Times New Roman" w:cs="Times New Roman"/>
          <w:b/>
          <w:bCs/>
          <w:sz w:val="24"/>
          <w:szCs w:val="24"/>
        </w:rPr>
      </w:pPr>
      <w:r>
        <w:rPr>
          <w:rFonts w:ascii="Times New Roman" w:hAnsi="Times New Roman" w:cs="Times New Roman"/>
          <w:b/>
          <w:bCs/>
          <w:sz w:val="24"/>
          <w:szCs w:val="24"/>
        </w:rPr>
        <w:br w:type="page"/>
      </w:r>
    </w:p>
    <w:p w14:paraId="456FC1EA" w14:textId="157A424B" w:rsidR="00AC06D2" w:rsidRDefault="00AC06D2" w:rsidP="00AC06D2">
      <w:pPr>
        <w:pStyle w:val="ListParagraph"/>
        <w:spacing w:after="0" w:line="360" w:lineRule="auto"/>
        <w:ind w:left="1440"/>
        <w:jc w:val="center"/>
        <w:rPr>
          <w:rFonts w:ascii="Times New Roman" w:hAnsi="Times New Roman" w:cs="Times New Roman"/>
          <w:b/>
          <w:bCs/>
          <w:sz w:val="24"/>
          <w:szCs w:val="24"/>
        </w:rPr>
      </w:pPr>
      <w:r w:rsidRPr="00A16BF3">
        <w:rPr>
          <w:rFonts w:ascii="Times New Roman" w:hAnsi="Times New Roman" w:cs="Times New Roman"/>
          <w:bCs/>
          <w:sz w:val="24"/>
          <w:szCs w:val="24"/>
        </w:rPr>
        <w:lastRenderedPageBreak/>
        <w:t xml:space="preserve">                                                                                                                       1.tabula</w:t>
      </w:r>
    </w:p>
    <w:p w14:paraId="57BDE38E" w14:textId="1CCC4A2C" w:rsidR="00E66DE6" w:rsidRPr="00A16BF3" w:rsidRDefault="00E66DE6" w:rsidP="00AC06D2">
      <w:pPr>
        <w:pStyle w:val="ListParagraph"/>
        <w:spacing w:after="0" w:line="360" w:lineRule="auto"/>
        <w:ind w:left="0"/>
        <w:jc w:val="center"/>
        <w:rPr>
          <w:rFonts w:ascii="Times New Roman" w:hAnsi="Times New Roman" w:cs="Times New Roman"/>
          <w:bCs/>
          <w:sz w:val="24"/>
          <w:szCs w:val="24"/>
        </w:rPr>
      </w:pPr>
      <w:r w:rsidRPr="00A16BF3">
        <w:rPr>
          <w:rFonts w:ascii="Times New Roman" w:hAnsi="Times New Roman" w:cs="Times New Roman"/>
          <w:b/>
          <w:bCs/>
          <w:sz w:val="24"/>
          <w:szCs w:val="24"/>
        </w:rPr>
        <w:t>Medicīnas iekārtas un cita infrastruktūra</w:t>
      </w:r>
    </w:p>
    <w:tbl>
      <w:tblPr>
        <w:tblStyle w:val="TableGrid"/>
        <w:tblW w:w="0" w:type="auto"/>
        <w:jc w:val="center"/>
        <w:tblLook w:val="04A0" w:firstRow="1" w:lastRow="0" w:firstColumn="1" w:lastColumn="0" w:noHBand="0" w:noVBand="1"/>
      </w:tblPr>
      <w:tblGrid>
        <w:gridCol w:w="4549"/>
        <w:gridCol w:w="2233"/>
        <w:gridCol w:w="2234"/>
      </w:tblGrid>
      <w:tr w:rsidR="00FA4994" w:rsidRPr="00A16BF3" w14:paraId="64C62B3B" w14:textId="77777777" w:rsidTr="00B040C3">
        <w:trPr>
          <w:jc w:val="center"/>
        </w:trPr>
        <w:tc>
          <w:tcPr>
            <w:tcW w:w="4549" w:type="dxa"/>
            <w:vMerge w:val="restart"/>
          </w:tcPr>
          <w:p w14:paraId="2ACFAFE1" w14:textId="77777777" w:rsidR="00FA4994" w:rsidRPr="00A16BF3" w:rsidRDefault="00FA4994" w:rsidP="000E2D46">
            <w:pPr>
              <w:spacing w:line="360" w:lineRule="auto"/>
              <w:jc w:val="center"/>
              <w:rPr>
                <w:rFonts w:ascii="Times New Roman" w:hAnsi="Times New Roman" w:cs="Times New Roman"/>
                <w:b/>
                <w:bCs/>
                <w:sz w:val="24"/>
                <w:szCs w:val="24"/>
              </w:rPr>
            </w:pPr>
            <w:r w:rsidRPr="00A16BF3">
              <w:rPr>
                <w:rFonts w:ascii="Times New Roman" w:hAnsi="Times New Roman" w:cs="Times New Roman"/>
                <w:b/>
                <w:bCs/>
                <w:sz w:val="24"/>
                <w:szCs w:val="24"/>
              </w:rPr>
              <w:t>Pamatlīdzekļu raksturojums</w:t>
            </w:r>
          </w:p>
        </w:tc>
        <w:tc>
          <w:tcPr>
            <w:tcW w:w="4467" w:type="dxa"/>
            <w:gridSpan w:val="2"/>
          </w:tcPr>
          <w:p w14:paraId="7C9B16CA" w14:textId="30B20828" w:rsidR="00FA4994" w:rsidRPr="00A16BF3" w:rsidRDefault="00FA4994" w:rsidP="00FA4994">
            <w:pPr>
              <w:spacing w:line="360" w:lineRule="auto"/>
              <w:jc w:val="center"/>
              <w:rPr>
                <w:rFonts w:ascii="Times New Roman" w:hAnsi="Times New Roman" w:cs="Times New Roman"/>
                <w:b/>
                <w:bCs/>
                <w:sz w:val="24"/>
                <w:szCs w:val="24"/>
              </w:rPr>
            </w:pPr>
            <w:r w:rsidRPr="00A16BF3">
              <w:rPr>
                <w:rFonts w:ascii="Times New Roman" w:hAnsi="Times New Roman" w:cs="Times New Roman"/>
                <w:b/>
                <w:bCs/>
                <w:sz w:val="24"/>
                <w:szCs w:val="24"/>
              </w:rPr>
              <w:t>Vērtība</w:t>
            </w:r>
          </w:p>
        </w:tc>
      </w:tr>
      <w:tr w:rsidR="00FA4994" w:rsidRPr="00A16BF3" w14:paraId="43980D29" w14:textId="77777777" w:rsidTr="00B040C3">
        <w:trPr>
          <w:jc w:val="center"/>
        </w:trPr>
        <w:tc>
          <w:tcPr>
            <w:tcW w:w="4549" w:type="dxa"/>
            <w:vMerge/>
          </w:tcPr>
          <w:p w14:paraId="6C5F2ED3" w14:textId="77777777" w:rsidR="00FA4994" w:rsidRPr="00A16BF3" w:rsidRDefault="00FA4994" w:rsidP="000E2D46">
            <w:pPr>
              <w:spacing w:line="360" w:lineRule="auto"/>
              <w:jc w:val="both"/>
              <w:rPr>
                <w:rFonts w:ascii="Times New Roman" w:hAnsi="Times New Roman" w:cs="Times New Roman"/>
                <w:sz w:val="24"/>
                <w:szCs w:val="24"/>
              </w:rPr>
            </w:pPr>
          </w:p>
        </w:tc>
        <w:tc>
          <w:tcPr>
            <w:tcW w:w="2233" w:type="dxa"/>
          </w:tcPr>
          <w:p w14:paraId="1A94511C" w14:textId="5A1C9F25" w:rsidR="00FA4994" w:rsidRPr="00A16BF3" w:rsidRDefault="00FA4994" w:rsidP="00FA4994">
            <w:pPr>
              <w:spacing w:line="360" w:lineRule="auto"/>
              <w:jc w:val="center"/>
              <w:rPr>
                <w:rFonts w:ascii="Times New Roman" w:hAnsi="Times New Roman" w:cs="Times New Roman"/>
                <w:b/>
                <w:bCs/>
                <w:sz w:val="24"/>
                <w:szCs w:val="24"/>
              </w:rPr>
            </w:pPr>
            <w:r w:rsidRPr="00A16BF3">
              <w:rPr>
                <w:rFonts w:ascii="Times New Roman" w:hAnsi="Times New Roman" w:cs="Times New Roman"/>
                <w:b/>
                <w:bCs/>
                <w:sz w:val="24"/>
                <w:szCs w:val="24"/>
              </w:rPr>
              <w:t>2019</w:t>
            </w:r>
          </w:p>
        </w:tc>
        <w:tc>
          <w:tcPr>
            <w:tcW w:w="2234" w:type="dxa"/>
          </w:tcPr>
          <w:p w14:paraId="46F86DC6" w14:textId="1C0A6574" w:rsidR="00FA4994" w:rsidRPr="00A16BF3" w:rsidRDefault="00FA4994" w:rsidP="00FA4994">
            <w:pPr>
              <w:spacing w:line="360" w:lineRule="auto"/>
              <w:jc w:val="center"/>
              <w:rPr>
                <w:rFonts w:ascii="Times New Roman" w:hAnsi="Times New Roman" w:cs="Times New Roman"/>
                <w:b/>
                <w:bCs/>
                <w:sz w:val="24"/>
                <w:szCs w:val="24"/>
              </w:rPr>
            </w:pPr>
            <w:r w:rsidRPr="00A16BF3">
              <w:rPr>
                <w:rFonts w:ascii="Times New Roman" w:hAnsi="Times New Roman" w:cs="Times New Roman"/>
                <w:b/>
                <w:bCs/>
                <w:sz w:val="24"/>
                <w:szCs w:val="24"/>
              </w:rPr>
              <w:t>2020</w:t>
            </w:r>
          </w:p>
        </w:tc>
      </w:tr>
      <w:tr w:rsidR="00970FD7" w:rsidRPr="00A16BF3" w14:paraId="1C26BF6A" w14:textId="77777777" w:rsidTr="00B040C3">
        <w:trPr>
          <w:jc w:val="center"/>
        </w:trPr>
        <w:tc>
          <w:tcPr>
            <w:tcW w:w="4549" w:type="dxa"/>
          </w:tcPr>
          <w:p w14:paraId="21756D59" w14:textId="77777777" w:rsidR="00970FD7" w:rsidRPr="00A16BF3" w:rsidRDefault="00970FD7" w:rsidP="000E2D46">
            <w:pPr>
              <w:spacing w:line="360" w:lineRule="auto"/>
              <w:jc w:val="both"/>
              <w:rPr>
                <w:rFonts w:ascii="Times New Roman" w:hAnsi="Times New Roman" w:cs="Times New Roman"/>
                <w:sz w:val="24"/>
                <w:szCs w:val="24"/>
              </w:rPr>
            </w:pPr>
            <w:r w:rsidRPr="00A16BF3">
              <w:rPr>
                <w:rFonts w:ascii="Times New Roman" w:hAnsi="Times New Roman" w:cs="Times New Roman"/>
                <w:sz w:val="24"/>
                <w:szCs w:val="24"/>
              </w:rPr>
              <w:t>Kopējā medicīnas iekārtu uzskaites vērtība</w:t>
            </w:r>
          </w:p>
        </w:tc>
        <w:tc>
          <w:tcPr>
            <w:tcW w:w="2233" w:type="dxa"/>
          </w:tcPr>
          <w:p w14:paraId="2C251D94" w14:textId="7B48FCF1" w:rsidR="00970FD7" w:rsidRPr="00A16BF3" w:rsidRDefault="00970FD7" w:rsidP="00FA4994">
            <w:pPr>
              <w:spacing w:line="360" w:lineRule="auto"/>
              <w:jc w:val="right"/>
              <w:rPr>
                <w:rFonts w:ascii="Times New Roman" w:hAnsi="Times New Roman" w:cs="Times New Roman"/>
                <w:sz w:val="24"/>
                <w:szCs w:val="24"/>
              </w:rPr>
            </w:pPr>
            <w:r w:rsidRPr="00A16BF3">
              <w:rPr>
                <w:rFonts w:ascii="Times New Roman" w:hAnsi="Times New Roman" w:cs="Times New Roman"/>
                <w:sz w:val="24"/>
                <w:szCs w:val="24"/>
              </w:rPr>
              <w:t>5535869,71 EUR</w:t>
            </w:r>
          </w:p>
        </w:tc>
        <w:tc>
          <w:tcPr>
            <w:tcW w:w="2234" w:type="dxa"/>
          </w:tcPr>
          <w:p w14:paraId="30F0ACED" w14:textId="602D7500" w:rsidR="00970FD7" w:rsidRPr="00A16BF3" w:rsidRDefault="00970FD7" w:rsidP="00FA4994">
            <w:pPr>
              <w:spacing w:line="360" w:lineRule="auto"/>
              <w:jc w:val="right"/>
              <w:rPr>
                <w:rFonts w:ascii="Times New Roman" w:hAnsi="Times New Roman" w:cs="Times New Roman"/>
                <w:sz w:val="24"/>
                <w:szCs w:val="24"/>
              </w:rPr>
            </w:pPr>
            <w:r w:rsidRPr="00A16BF3">
              <w:rPr>
                <w:rFonts w:ascii="Times New Roman" w:hAnsi="Times New Roman" w:cs="Times New Roman"/>
                <w:sz w:val="24"/>
                <w:szCs w:val="24"/>
              </w:rPr>
              <w:t>6514372 EUR</w:t>
            </w:r>
          </w:p>
        </w:tc>
      </w:tr>
      <w:tr w:rsidR="00970FD7" w:rsidRPr="00A16BF3" w14:paraId="0E7C1583" w14:textId="77777777" w:rsidTr="00B040C3">
        <w:trPr>
          <w:jc w:val="center"/>
        </w:trPr>
        <w:tc>
          <w:tcPr>
            <w:tcW w:w="4549" w:type="dxa"/>
          </w:tcPr>
          <w:p w14:paraId="158A0BA5" w14:textId="77777777" w:rsidR="00970FD7" w:rsidRPr="00A16BF3" w:rsidRDefault="00970FD7" w:rsidP="000E2D46">
            <w:pPr>
              <w:spacing w:line="360" w:lineRule="auto"/>
              <w:jc w:val="both"/>
              <w:rPr>
                <w:rFonts w:ascii="Times New Roman" w:hAnsi="Times New Roman" w:cs="Times New Roman"/>
                <w:sz w:val="24"/>
                <w:szCs w:val="24"/>
              </w:rPr>
            </w:pPr>
            <w:r w:rsidRPr="00A16BF3">
              <w:rPr>
                <w:rFonts w:ascii="Times New Roman" w:hAnsi="Times New Roman" w:cs="Times New Roman"/>
                <w:sz w:val="24"/>
                <w:szCs w:val="24"/>
              </w:rPr>
              <w:t>Medicīnas iekārtu (pamatlīdzekļu) kopējais skaits</w:t>
            </w:r>
          </w:p>
        </w:tc>
        <w:tc>
          <w:tcPr>
            <w:tcW w:w="2233" w:type="dxa"/>
          </w:tcPr>
          <w:p w14:paraId="58A68D9F" w14:textId="3A1CA0C3" w:rsidR="00970FD7" w:rsidRPr="00A16BF3" w:rsidRDefault="00970FD7"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659</w:t>
            </w:r>
          </w:p>
        </w:tc>
        <w:tc>
          <w:tcPr>
            <w:tcW w:w="2234" w:type="dxa"/>
          </w:tcPr>
          <w:p w14:paraId="6BED6D04" w14:textId="4AEE676D" w:rsidR="00970FD7" w:rsidRPr="00A16BF3" w:rsidRDefault="00970FD7"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726</w:t>
            </w:r>
          </w:p>
        </w:tc>
      </w:tr>
    </w:tbl>
    <w:p w14:paraId="4951FB29" w14:textId="77777777" w:rsidR="00E66DE6" w:rsidRPr="00A16BF3" w:rsidRDefault="00E66DE6" w:rsidP="000E2D46">
      <w:pPr>
        <w:pStyle w:val="ListParagraph"/>
        <w:spacing w:after="0" w:line="360" w:lineRule="auto"/>
        <w:ind w:left="1440"/>
        <w:rPr>
          <w:rFonts w:ascii="Times New Roman" w:hAnsi="Times New Roman" w:cs="Times New Roman"/>
          <w:b/>
          <w:sz w:val="24"/>
          <w:szCs w:val="24"/>
        </w:rPr>
      </w:pPr>
    </w:p>
    <w:p w14:paraId="494C9FB8" w14:textId="620AE416" w:rsidR="00E66DE6" w:rsidRDefault="00E66DE6" w:rsidP="000E2D46">
      <w:pPr>
        <w:spacing w:after="0" w:line="360" w:lineRule="auto"/>
        <w:ind w:left="720"/>
        <w:jc w:val="right"/>
        <w:rPr>
          <w:rFonts w:ascii="Times New Roman" w:hAnsi="Times New Roman" w:cs="Times New Roman"/>
          <w:sz w:val="24"/>
          <w:szCs w:val="24"/>
        </w:rPr>
      </w:pPr>
      <w:r w:rsidRPr="00A16BF3">
        <w:rPr>
          <w:rFonts w:ascii="Times New Roman" w:hAnsi="Times New Roman" w:cs="Times New Roman"/>
          <w:sz w:val="24"/>
          <w:szCs w:val="24"/>
        </w:rPr>
        <w:t>2.tabula</w:t>
      </w:r>
    </w:p>
    <w:p w14:paraId="79DBAA58" w14:textId="77777777" w:rsidR="00AC06D2" w:rsidRPr="00A16BF3" w:rsidRDefault="00AC06D2" w:rsidP="00AC06D2">
      <w:pPr>
        <w:pStyle w:val="ListParagraph"/>
        <w:spacing w:after="0" w:line="360" w:lineRule="auto"/>
        <w:ind w:left="0"/>
        <w:jc w:val="center"/>
        <w:rPr>
          <w:rFonts w:ascii="Times New Roman" w:hAnsi="Times New Roman" w:cs="Times New Roman"/>
          <w:b/>
          <w:sz w:val="24"/>
          <w:szCs w:val="24"/>
        </w:rPr>
      </w:pPr>
      <w:r w:rsidRPr="00A16BF3">
        <w:rPr>
          <w:rFonts w:ascii="Times New Roman" w:hAnsi="Times New Roman" w:cs="Times New Roman"/>
          <w:b/>
          <w:sz w:val="24"/>
          <w:szCs w:val="24"/>
        </w:rPr>
        <w:t>Iekārtu sadalījums pēc ekspluatācijas laika</w:t>
      </w:r>
    </w:p>
    <w:tbl>
      <w:tblPr>
        <w:tblStyle w:val="TableGrid"/>
        <w:tblW w:w="0" w:type="auto"/>
        <w:jc w:val="center"/>
        <w:tblLook w:val="04A0" w:firstRow="1" w:lastRow="0" w:firstColumn="1" w:lastColumn="0" w:noHBand="0" w:noVBand="1"/>
      </w:tblPr>
      <w:tblGrid>
        <w:gridCol w:w="2266"/>
        <w:gridCol w:w="876"/>
        <w:gridCol w:w="1403"/>
        <w:gridCol w:w="1225"/>
        <w:gridCol w:w="1406"/>
      </w:tblGrid>
      <w:tr w:rsidR="0036376A" w:rsidRPr="00A16BF3" w14:paraId="45CAE75F" w14:textId="77777777" w:rsidTr="00AC06D2">
        <w:trPr>
          <w:jc w:val="center"/>
        </w:trPr>
        <w:tc>
          <w:tcPr>
            <w:tcW w:w="2266" w:type="dxa"/>
          </w:tcPr>
          <w:p w14:paraId="1B983EAC" w14:textId="77777777" w:rsidR="0036376A" w:rsidRPr="00A16BF3" w:rsidRDefault="0036376A" w:rsidP="00FA4994">
            <w:pPr>
              <w:jc w:val="center"/>
              <w:rPr>
                <w:rFonts w:ascii="Times New Roman" w:hAnsi="Times New Roman" w:cs="Times New Roman"/>
                <w:b/>
                <w:bCs/>
                <w:sz w:val="24"/>
                <w:szCs w:val="24"/>
              </w:rPr>
            </w:pPr>
            <w:r w:rsidRPr="00A16BF3">
              <w:rPr>
                <w:rFonts w:ascii="Times New Roman" w:hAnsi="Times New Roman" w:cs="Times New Roman"/>
                <w:b/>
                <w:bCs/>
                <w:sz w:val="24"/>
                <w:szCs w:val="24"/>
              </w:rPr>
              <w:t>Iekārtu sadalījums pa vecuma grupām</w:t>
            </w:r>
          </w:p>
        </w:tc>
        <w:tc>
          <w:tcPr>
            <w:tcW w:w="876" w:type="dxa"/>
          </w:tcPr>
          <w:p w14:paraId="3AA90462" w14:textId="77777777" w:rsidR="0036376A" w:rsidRPr="00A16BF3" w:rsidRDefault="0036376A" w:rsidP="00FA4994">
            <w:pPr>
              <w:jc w:val="center"/>
              <w:rPr>
                <w:rFonts w:ascii="Times New Roman" w:hAnsi="Times New Roman" w:cs="Times New Roman"/>
                <w:b/>
                <w:bCs/>
                <w:sz w:val="24"/>
                <w:szCs w:val="24"/>
              </w:rPr>
            </w:pPr>
            <w:r w:rsidRPr="00A16BF3">
              <w:rPr>
                <w:rFonts w:ascii="Times New Roman" w:hAnsi="Times New Roman" w:cs="Times New Roman"/>
                <w:b/>
                <w:bCs/>
                <w:sz w:val="24"/>
                <w:szCs w:val="24"/>
              </w:rPr>
              <w:t>Skaits</w:t>
            </w:r>
          </w:p>
        </w:tc>
        <w:tc>
          <w:tcPr>
            <w:tcW w:w="1403" w:type="dxa"/>
          </w:tcPr>
          <w:p w14:paraId="717B9E10" w14:textId="172706F2" w:rsidR="0036376A" w:rsidRPr="00A16BF3" w:rsidRDefault="0036376A" w:rsidP="00FA4994">
            <w:pPr>
              <w:jc w:val="center"/>
              <w:rPr>
                <w:rFonts w:ascii="Times New Roman" w:hAnsi="Times New Roman" w:cs="Times New Roman"/>
                <w:b/>
                <w:bCs/>
                <w:sz w:val="24"/>
                <w:szCs w:val="24"/>
              </w:rPr>
            </w:pPr>
            <w:r w:rsidRPr="00A16BF3">
              <w:rPr>
                <w:rFonts w:ascii="Times New Roman" w:hAnsi="Times New Roman" w:cs="Times New Roman"/>
                <w:b/>
                <w:bCs/>
                <w:sz w:val="24"/>
                <w:szCs w:val="24"/>
              </w:rPr>
              <w:t>Procentuāli</w:t>
            </w:r>
          </w:p>
        </w:tc>
        <w:tc>
          <w:tcPr>
            <w:tcW w:w="1225" w:type="dxa"/>
          </w:tcPr>
          <w:p w14:paraId="0119EA6A" w14:textId="6B069EBA" w:rsidR="0036376A" w:rsidRPr="00A16BF3" w:rsidRDefault="0036376A" w:rsidP="00FA4994">
            <w:pPr>
              <w:jc w:val="center"/>
              <w:rPr>
                <w:rFonts w:ascii="Times New Roman" w:hAnsi="Times New Roman" w:cs="Times New Roman"/>
                <w:b/>
                <w:bCs/>
                <w:sz w:val="24"/>
                <w:szCs w:val="24"/>
              </w:rPr>
            </w:pPr>
            <w:r w:rsidRPr="00A16BF3">
              <w:rPr>
                <w:rFonts w:ascii="Times New Roman" w:hAnsi="Times New Roman" w:cs="Times New Roman"/>
                <w:b/>
                <w:bCs/>
                <w:sz w:val="24"/>
                <w:szCs w:val="24"/>
              </w:rPr>
              <w:t>Skaits</w:t>
            </w:r>
          </w:p>
        </w:tc>
        <w:tc>
          <w:tcPr>
            <w:tcW w:w="1406" w:type="dxa"/>
          </w:tcPr>
          <w:p w14:paraId="5A428A92" w14:textId="78042B18" w:rsidR="0036376A" w:rsidRPr="00A16BF3" w:rsidRDefault="0036376A" w:rsidP="00FA4994">
            <w:pPr>
              <w:jc w:val="center"/>
              <w:rPr>
                <w:rFonts w:ascii="Times New Roman" w:hAnsi="Times New Roman" w:cs="Times New Roman"/>
                <w:b/>
                <w:bCs/>
                <w:sz w:val="24"/>
                <w:szCs w:val="24"/>
              </w:rPr>
            </w:pPr>
            <w:r w:rsidRPr="00A16BF3">
              <w:rPr>
                <w:rFonts w:ascii="Times New Roman" w:hAnsi="Times New Roman" w:cs="Times New Roman"/>
                <w:b/>
                <w:bCs/>
                <w:sz w:val="24"/>
                <w:szCs w:val="24"/>
              </w:rPr>
              <w:t>Procentuāli</w:t>
            </w:r>
          </w:p>
        </w:tc>
      </w:tr>
      <w:tr w:rsidR="0036376A" w:rsidRPr="00A16BF3" w14:paraId="67715CF8" w14:textId="77777777" w:rsidTr="00AC06D2">
        <w:trPr>
          <w:trHeight w:val="449"/>
          <w:jc w:val="center"/>
        </w:trPr>
        <w:tc>
          <w:tcPr>
            <w:tcW w:w="2266" w:type="dxa"/>
          </w:tcPr>
          <w:p w14:paraId="0BFB2710" w14:textId="77777777" w:rsidR="0036376A" w:rsidRPr="00A16BF3" w:rsidRDefault="0036376A" w:rsidP="000E2D46">
            <w:pPr>
              <w:spacing w:line="360" w:lineRule="auto"/>
              <w:jc w:val="both"/>
              <w:rPr>
                <w:rFonts w:ascii="Times New Roman" w:hAnsi="Times New Roman" w:cs="Times New Roman"/>
                <w:sz w:val="24"/>
                <w:szCs w:val="24"/>
              </w:rPr>
            </w:pPr>
          </w:p>
        </w:tc>
        <w:tc>
          <w:tcPr>
            <w:tcW w:w="2279" w:type="dxa"/>
            <w:gridSpan w:val="2"/>
          </w:tcPr>
          <w:p w14:paraId="77DAAEA5" w14:textId="04E7A27B" w:rsidR="0036376A" w:rsidRPr="00A16BF3" w:rsidRDefault="0036376A" w:rsidP="000E2D46">
            <w:pPr>
              <w:spacing w:line="360" w:lineRule="auto"/>
              <w:jc w:val="center"/>
              <w:rPr>
                <w:rFonts w:ascii="Times New Roman" w:hAnsi="Times New Roman" w:cs="Times New Roman"/>
                <w:b/>
                <w:bCs/>
                <w:sz w:val="24"/>
                <w:szCs w:val="24"/>
              </w:rPr>
            </w:pPr>
            <w:r w:rsidRPr="00A16BF3">
              <w:rPr>
                <w:rFonts w:ascii="Times New Roman" w:hAnsi="Times New Roman" w:cs="Times New Roman"/>
                <w:b/>
                <w:bCs/>
                <w:sz w:val="24"/>
                <w:szCs w:val="24"/>
              </w:rPr>
              <w:t>2019.g</w:t>
            </w:r>
          </w:p>
        </w:tc>
        <w:tc>
          <w:tcPr>
            <w:tcW w:w="2631" w:type="dxa"/>
            <w:gridSpan w:val="2"/>
          </w:tcPr>
          <w:p w14:paraId="7CB5D9CC" w14:textId="1BAC4216" w:rsidR="0036376A" w:rsidRPr="00A16BF3" w:rsidRDefault="0036376A" w:rsidP="000E2D46">
            <w:pPr>
              <w:spacing w:line="360" w:lineRule="auto"/>
              <w:jc w:val="center"/>
              <w:rPr>
                <w:rFonts w:ascii="Times New Roman" w:hAnsi="Times New Roman" w:cs="Times New Roman"/>
                <w:b/>
                <w:bCs/>
                <w:sz w:val="24"/>
                <w:szCs w:val="24"/>
              </w:rPr>
            </w:pPr>
            <w:r w:rsidRPr="00A16BF3">
              <w:rPr>
                <w:rFonts w:ascii="Times New Roman" w:hAnsi="Times New Roman" w:cs="Times New Roman"/>
                <w:b/>
                <w:bCs/>
                <w:sz w:val="24"/>
                <w:szCs w:val="24"/>
              </w:rPr>
              <w:t>2020.g.</w:t>
            </w:r>
          </w:p>
        </w:tc>
      </w:tr>
      <w:tr w:rsidR="0036376A" w:rsidRPr="00A16BF3" w14:paraId="445AFBAA" w14:textId="77777777" w:rsidTr="00AC06D2">
        <w:trPr>
          <w:jc w:val="center"/>
        </w:trPr>
        <w:tc>
          <w:tcPr>
            <w:tcW w:w="2266" w:type="dxa"/>
          </w:tcPr>
          <w:p w14:paraId="141AEEC6" w14:textId="77777777" w:rsidR="0036376A" w:rsidRPr="00A16BF3" w:rsidRDefault="0036376A" w:rsidP="000E2D46">
            <w:pPr>
              <w:spacing w:line="360" w:lineRule="auto"/>
              <w:jc w:val="both"/>
              <w:rPr>
                <w:rFonts w:ascii="Times New Roman" w:hAnsi="Times New Roman" w:cs="Times New Roman"/>
                <w:sz w:val="24"/>
                <w:szCs w:val="24"/>
              </w:rPr>
            </w:pPr>
            <w:r w:rsidRPr="00A16BF3">
              <w:rPr>
                <w:rFonts w:ascii="Times New Roman" w:hAnsi="Times New Roman" w:cs="Times New Roman"/>
                <w:sz w:val="24"/>
                <w:szCs w:val="24"/>
              </w:rPr>
              <w:t>5 gadi un jaunākas</w:t>
            </w:r>
          </w:p>
        </w:tc>
        <w:tc>
          <w:tcPr>
            <w:tcW w:w="876" w:type="dxa"/>
          </w:tcPr>
          <w:p w14:paraId="6846CB70" w14:textId="121544C7"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189</w:t>
            </w:r>
          </w:p>
        </w:tc>
        <w:tc>
          <w:tcPr>
            <w:tcW w:w="1403" w:type="dxa"/>
          </w:tcPr>
          <w:p w14:paraId="6D86500D" w14:textId="617B6DD6"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29 %</w:t>
            </w:r>
          </w:p>
        </w:tc>
        <w:tc>
          <w:tcPr>
            <w:tcW w:w="1225" w:type="dxa"/>
          </w:tcPr>
          <w:p w14:paraId="7EF779A6" w14:textId="27EDDE75"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229</w:t>
            </w:r>
          </w:p>
        </w:tc>
        <w:tc>
          <w:tcPr>
            <w:tcW w:w="1406" w:type="dxa"/>
          </w:tcPr>
          <w:p w14:paraId="7702E012" w14:textId="5C4407E6"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32 %</w:t>
            </w:r>
          </w:p>
        </w:tc>
      </w:tr>
      <w:tr w:rsidR="0036376A" w:rsidRPr="00A16BF3" w14:paraId="4AB902DF" w14:textId="77777777" w:rsidTr="00AC06D2">
        <w:trPr>
          <w:jc w:val="center"/>
        </w:trPr>
        <w:tc>
          <w:tcPr>
            <w:tcW w:w="2266" w:type="dxa"/>
          </w:tcPr>
          <w:p w14:paraId="71757C9A" w14:textId="77777777" w:rsidR="0036376A" w:rsidRPr="00A16BF3" w:rsidRDefault="0036376A" w:rsidP="000E2D46">
            <w:pPr>
              <w:spacing w:line="360" w:lineRule="auto"/>
              <w:jc w:val="both"/>
              <w:rPr>
                <w:rFonts w:ascii="Times New Roman" w:hAnsi="Times New Roman" w:cs="Times New Roman"/>
                <w:sz w:val="24"/>
                <w:szCs w:val="24"/>
              </w:rPr>
            </w:pPr>
            <w:r w:rsidRPr="00A16BF3">
              <w:rPr>
                <w:rFonts w:ascii="Times New Roman" w:hAnsi="Times New Roman" w:cs="Times New Roman"/>
                <w:sz w:val="24"/>
                <w:szCs w:val="24"/>
              </w:rPr>
              <w:t>6-10 gadi</w:t>
            </w:r>
          </w:p>
        </w:tc>
        <w:tc>
          <w:tcPr>
            <w:tcW w:w="876" w:type="dxa"/>
          </w:tcPr>
          <w:p w14:paraId="433A039A" w14:textId="54FC4515"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262</w:t>
            </w:r>
          </w:p>
        </w:tc>
        <w:tc>
          <w:tcPr>
            <w:tcW w:w="1403" w:type="dxa"/>
          </w:tcPr>
          <w:p w14:paraId="7ABC61B5" w14:textId="57318C86"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40 %</w:t>
            </w:r>
          </w:p>
        </w:tc>
        <w:tc>
          <w:tcPr>
            <w:tcW w:w="1225" w:type="dxa"/>
          </w:tcPr>
          <w:p w14:paraId="23A8F4E7" w14:textId="6B7BF409"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265</w:t>
            </w:r>
          </w:p>
        </w:tc>
        <w:tc>
          <w:tcPr>
            <w:tcW w:w="1406" w:type="dxa"/>
          </w:tcPr>
          <w:p w14:paraId="23C8001C" w14:textId="38EFFBF0"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37 %</w:t>
            </w:r>
          </w:p>
        </w:tc>
      </w:tr>
      <w:tr w:rsidR="0036376A" w:rsidRPr="00A16BF3" w14:paraId="5BCC6532" w14:textId="77777777" w:rsidTr="00AC06D2">
        <w:trPr>
          <w:jc w:val="center"/>
        </w:trPr>
        <w:tc>
          <w:tcPr>
            <w:tcW w:w="2266" w:type="dxa"/>
          </w:tcPr>
          <w:p w14:paraId="36AFF08A" w14:textId="77777777" w:rsidR="0036376A" w:rsidRPr="00A16BF3" w:rsidRDefault="0036376A" w:rsidP="000E2D46">
            <w:pPr>
              <w:spacing w:line="360" w:lineRule="auto"/>
              <w:jc w:val="both"/>
              <w:rPr>
                <w:rFonts w:ascii="Times New Roman" w:hAnsi="Times New Roman" w:cs="Times New Roman"/>
                <w:sz w:val="24"/>
                <w:szCs w:val="24"/>
              </w:rPr>
            </w:pPr>
            <w:r w:rsidRPr="00A16BF3">
              <w:rPr>
                <w:rFonts w:ascii="Times New Roman" w:hAnsi="Times New Roman" w:cs="Times New Roman"/>
                <w:sz w:val="24"/>
                <w:szCs w:val="24"/>
              </w:rPr>
              <w:t>10-15 gadi</w:t>
            </w:r>
          </w:p>
        </w:tc>
        <w:tc>
          <w:tcPr>
            <w:tcW w:w="876" w:type="dxa"/>
          </w:tcPr>
          <w:p w14:paraId="16ABBB92" w14:textId="6CF318B5"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168</w:t>
            </w:r>
          </w:p>
        </w:tc>
        <w:tc>
          <w:tcPr>
            <w:tcW w:w="1403" w:type="dxa"/>
          </w:tcPr>
          <w:p w14:paraId="3C37A819" w14:textId="22E8CC18"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25 %</w:t>
            </w:r>
          </w:p>
        </w:tc>
        <w:tc>
          <w:tcPr>
            <w:tcW w:w="1225" w:type="dxa"/>
          </w:tcPr>
          <w:p w14:paraId="554796EC" w14:textId="0D4DECB1"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178</w:t>
            </w:r>
          </w:p>
        </w:tc>
        <w:tc>
          <w:tcPr>
            <w:tcW w:w="1406" w:type="dxa"/>
          </w:tcPr>
          <w:p w14:paraId="3675AF21" w14:textId="69A109EA"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25 %</w:t>
            </w:r>
          </w:p>
        </w:tc>
      </w:tr>
      <w:tr w:rsidR="0036376A" w:rsidRPr="00A16BF3" w14:paraId="413FA651" w14:textId="77777777" w:rsidTr="00AC06D2">
        <w:trPr>
          <w:jc w:val="center"/>
        </w:trPr>
        <w:tc>
          <w:tcPr>
            <w:tcW w:w="2266" w:type="dxa"/>
          </w:tcPr>
          <w:p w14:paraId="4B5311B2" w14:textId="77777777" w:rsidR="0036376A" w:rsidRPr="00A16BF3" w:rsidRDefault="0036376A" w:rsidP="000E2D46">
            <w:pPr>
              <w:spacing w:line="360" w:lineRule="auto"/>
              <w:jc w:val="both"/>
              <w:rPr>
                <w:rFonts w:ascii="Times New Roman" w:hAnsi="Times New Roman" w:cs="Times New Roman"/>
                <w:sz w:val="24"/>
                <w:szCs w:val="24"/>
              </w:rPr>
            </w:pPr>
            <w:r w:rsidRPr="00A16BF3">
              <w:rPr>
                <w:rFonts w:ascii="Times New Roman" w:hAnsi="Times New Roman" w:cs="Times New Roman"/>
                <w:sz w:val="24"/>
                <w:szCs w:val="24"/>
              </w:rPr>
              <w:t>16 gadi un vecākas</w:t>
            </w:r>
          </w:p>
        </w:tc>
        <w:tc>
          <w:tcPr>
            <w:tcW w:w="876" w:type="dxa"/>
          </w:tcPr>
          <w:p w14:paraId="4CDAAE08" w14:textId="4507CF0A"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40</w:t>
            </w:r>
          </w:p>
        </w:tc>
        <w:tc>
          <w:tcPr>
            <w:tcW w:w="1403" w:type="dxa"/>
          </w:tcPr>
          <w:p w14:paraId="19D099F5" w14:textId="57EA7F45"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6 %</w:t>
            </w:r>
          </w:p>
        </w:tc>
        <w:tc>
          <w:tcPr>
            <w:tcW w:w="1225" w:type="dxa"/>
          </w:tcPr>
          <w:p w14:paraId="7C5356F9" w14:textId="017DF9AD"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54</w:t>
            </w:r>
          </w:p>
        </w:tc>
        <w:tc>
          <w:tcPr>
            <w:tcW w:w="1406" w:type="dxa"/>
          </w:tcPr>
          <w:p w14:paraId="243C8825" w14:textId="62064D24" w:rsidR="0036376A" w:rsidRPr="00A16BF3" w:rsidRDefault="0036376A" w:rsidP="00FA4994">
            <w:pPr>
              <w:spacing w:line="360" w:lineRule="auto"/>
              <w:jc w:val="center"/>
              <w:rPr>
                <w:rFonts w:ascii="Times New Roman" w:hAnsi="Times New Roman" w:cs="Times New Roman"/>
                <w:sz w:val="24"/>
                <w:szCs w:val="24"/>
              </w:rPr>
            </w:pPr>
            <w:r w:rsidRPr="00A16BF3">
              <w:rPr>
                <w:rFonts w:ascii="Times New Roman" w:hAnsi="Times New Roman" w:cs="Times New Roman"/>
                <w:sz w:val="24"/>
                <w:szCs w:val="24"/>
              </w:rPr>
              <w:t>7 %</w:t>
            </w:r>
          </w:p>
        </w:tc>
      </w:tr>
    </w:tbl>
    <w:p w14:paraId="41DC5814" w14:textId="77777777" w:rsidR="00E66DE6" w:rsidRPr="00A16BF3" w:rsidRDefault="00E66DE6" w:rsidP="000E2D46">
      <w:pPr>
        <w:pStyle w:val="teksts"/>
        <w:ind w:left="1440" w:firstLine="0"/>
        <w:jc w:val="left"/>
      </w:pPr>
    </w:p>
    <w:p w14:paraId="0910FB1E" w14:textId="77777777" w:rsidR="00E013F6" w:rsidRPr="00A9528F" w:rsidRDefault="00E013F6" w:rsidP="00E013F6">
      <w:pPr>
        <w:spacing w:after="0" w:line="360" w:lineRule="auto"/>
        <w:ind w:firstLine="426"/>
        <w:jc w:val="both"/>
        <w:rPr>
          <w:rFonts w:ascii="Times New Roman" w:hAnsi="Times New Roman" w:cs="Times New Roman"/>
          <w:sz w:val="24"/>
          <w:szCs w:val="24"/>
        </w:rPr>
      </w:pPr>
      <w:bookmarkStart w:id="23" w:name="_Hlk45706584"/>
      <w:bookmarkStart w:id="24" w:name="_Hlk67545112"/>
      <w:r>
        <w:rPr>
          <w:rFonts w:ascii="Times New Roman" w:hAnsi="Times New Roman" w:cs="Times New Roman"/>
          <w:sz w:val="24"/>
          <w:szCs w:val="24"/>
        </w:rPr>
        <w:t xml:space="preserve">2020.gadā kapitālsabiedrībā ir vērojama iekārtu </w:t>
      </w:r>
      <w:r w:rsidRPr="00A9528F">
        <w:rPr>
          <w:rFonts w:ascii="Times New Roman" w:hAnsi="Times New Roman" w:cs="Times New Roman"/>
          <w:sz w:val="24"/>
          <w:szCs w:val="24"/>
        </w:rPr>
        <w:t>atjaunināšanas procesu virzība –  nolietoto pamatlīdzekļu atjaunošana un iekārtu modernizēšana,  palielinot jaunu iekārtu īpatsvaru, kas ietekmēs pakalpojumu  sniegšanas apjomu un kvalitāti. Lai uzlabotu iekārtu ekspluatācijas efektivitātes rādītājus un uzlabotu finanšu līdzekļu ieguldījuma jaunu iekārtu iegādē uzraudzību, kā arī lai uzlabotu iekārtu uzraudzības procesus, tajā skaitā, attiecībā uz regulāri veicamajām un obligātajām pārbaudēm, funkcionālām pārbaudēm, tiek digitalizēti iekārtu uzskaites dokumenti.</w:t>
      </w:r>
    </w:p>
    <w:bookmarkEnd w:id="24"/>
    <w:p w14:paraId="2D293DA6" w14:textId="77777777" w:rsidR="00FA4994" w:rsidRPr="00A16BF3" w:rsidRDefault="00FA4994" w:rsidP="000E2D46">
      <w:pPr>
        <w:spacing w:after="0" w:line="360" w:lineRule="auto"/>
        <w:jc w:val="both"/>
        <w:rPr>
          <w:b/>
        </w:rPr>
      </w:pPr>
    </w:p>
    <w:p w14:paraId="183B0957" w14:textId="6EA98F1E" w:rsidR="00671EDD" w:rsidRPr="000856C8" w:rsidRDefault="00671EDD" w:rsidP="000856C8">
      <w:pPr>
        <w:pStyle w:val="Heading2"/>
        <w:numPr>
          <w:ilvl w:val="1"/>
          <w:numId w:val="4"/>
        </w:numPr>
        <w:ind w:left="426"/>
        <w:rPr>
          <w:rFonts w:ascii="Times New Roman" w:hAnsi="Times New Roman" w:cs="Times New Roman"/>
          <w:b/>
          <w:bCs/>
          <w:sz w:val="24"/>
          <w:szCs w:val="24"/>
        </w:rPr>
      </w:pPr>
      <w:bookmarkStart w:id="25" w:name="_Toc67547273"/>
      <w:r w:rsidRPr="000856C8">
        <w:rPr>
          <w:rFonts w:ascii="Times New Roman" w:hAnsi="Times New Roman" w:cs="Times New Roman"/>
          <w:b/>
          <w:bCs/>
          <w:sz w:val="24"/>
          <w:szCs w:val="24"/>
        </w:rPr>
        <w:t>Tēla veidošanas pasākumi:</w:t>
      </w:r>
      <w:bookmarkEnd w:id="25"/>
    </w:p>
    <w:p w14:paraId="6AD044D6" w14:textId="1AA263EF" w:rsidR="00C66912" w:rsidRPr="00A16BF3" w:rsidRDefault="00C66912" w:rsidP="000856C8">
      <w:pPr>
        <w:pStyle w:val="teksts"/>
        <w:ind w:firstLine="426"/>
        <w:rPr>
          <w:b/>
          <w:bCs/>
        </w:rPr>
      </w:pPr>
      <w:r w:rsidRPr="00A16BF3">
        <w:rPr>
          <w:b/>
          <w:bCs/>
        </w:rPr>
        <w:t>Mērķi:</w:t>
      </w:r>
    </w:p>
    <w:p w14:paraId="2BE20FDF" w14:textId="6C881894" w:rsidR="00671EDD" w:rsidRPr="00A16BF3" w:rsidRDefault="00671EDD" w:rsidP="000856C8">
      <w:pPr>
        <w:pStyle w:val="teksts"/>
        <w:numPr>
          <w:ilvl w:val="0"/>
          <w:numId w:val="16"/>
        </w:numPr>
        <w:ind w:left="426" w:hanging="426"/>
      </w:pPr>
      <w:r w:rsidRPr="00A16BF3">
        <w:t>sūdzību izskatīšana, analīze, atbildes sniegšana un proaktīva darbība;</w:t>
      </w:r>
    </w:p>
    <w:p w14:paraId="42C69D9F" w14:textId="77777777" w:rsidR="00C66912" w:rsidRPr="00A16BF3" w:rsidRDefault="00C66912" w:rsidP="000856C8">
      <w:pPr>
        <w:pStyle w:val="teksts"/>
        <w:numPr>
          <w:ilvl w:val="0"/>
          <w:numId w:val="16"/>
        </w:numPr>
        <w:ind w:left="426" w:hanging="426"/>
      </w:pPr>
      <w:r w:rsidRPr="00A16BF3">
        <w:t xml:space="preserve">regulāra pacientu apmierinātības mērīšana; </w:t>
      </w:r>
    </w:p>
    <w:p w14:paraId="5899ABBC" w14:textId="6D192228" w:rsidR="00C66912" w:rsidRDefault="00C66912" w:rsidP="000856C8">
      <w:pPr>
        <w:pStyle w:val="teksts"/>
        <w:numPr>
          <w:ilvl w:val="0"/>
          <w:numId w:val="16"/>
        </w:numPr>
        <w:ind w:left="426" w:hanging="426"/>
      </w:pPr>
      <w:r w:rsidRPr="00A16BF3">
        <w:t>regulāra veselības aprūpes pakalpojumu pieprasījumu analīze.</w:t>
      </w:r>
    </w:p>
    <w:p w14:paraId="78403CEF" w14:textId="77777777" w:rsidR="00E013F6" w:rsidRPr="00A16BF3" w:rsidRDefault="00E013F6" w:rsidP="00E013F6">
      <w:pPr>
        <w:pStyle w:val="teksts"/>
        <w:ind w:left="426" w:firstLine="0"/>
      </w:pPr>
    </w:p>
    <w:bookmarkEnd w:id="23"/>
    <w:p w14:paraId="0F70B50F" w14:textId="77777777" w:rsidR="00E013F6" w:rsidRPr="00E013F6" w:rsidRDefault="00E013F6" w:rsidP="00E013F6">
      <w:pPr>
        <w:widowControl w:val="0"/>
        <w:autoSpaceDE w:val="0"/>
        <w:autoSpaceDN w:val="0"/>
        <w:adjustRightInd w:val="0"/>
        <w:spacing w:after="0" w:line="360" w:lineRule="auto"/>
        <w:ind w:firstLine="426"/>
        <w:jc w:val="both"/>
        <w:rPr>
          <w:rFonts w:ascii="Times New Roman" w:eastAsia="Calibri" w:hAnsi="Times New Roman" w:cs="Times New Roman"/>
          <w:sz w:val="24"/>
          <w:szCs w:val="24"/>
        </w:rPr>
      </w:pPr>
      <w:r w:rsidRPr="00E013F6">
        <w:rPr>
          <w:rFonts w:ascii="Times New Roman" w:hAnsi="Times New Roman" w:cs="Times New Roman"/>
          <w:sz w:val="24"/>
          <w:szCs w:val="24"/>
        </w:rPr>
        <w:t>2020.gadā ir izveidota sūdzību izskatīšanas komisija, kuras uzdevums ir izvērtēt sūdzības pēc to būtības un identificēt iespējamos riskus, ko var novērst vai samazināt to iestāšanās iespējas. Tādā veidā sūdzības tiek izmantotas kā instruments, lai uzlabotu gan pakalpojumu pieejamību, gan kvalitāti.</w:t>
      </w:r>
    </w:p>
    <w:p w14:paraId="71DECAA0" w14:textId="77777777" w:rsidR="00E013F6" w:rsidRPr="00E013F6" w:rsidRDefault="00E013F6" w:rsidP="00E013F6">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E013F6">
        <w:rPr>
          <w:rFonts w:ascii="Times New Roman" w:hAnsi="Times New Roman" w:cs="Times New Roman"/>
          <w:sz w:val="24"/>
          <w:szCs w:val="24"/>
        </w:rPr>
        <w:lastRenderedPageBreak/>
        <w:t xml:space="preserve">Slimnīcas mājaslapā un sociālajos tīklos (Facebook, Instagram ) pacienti tiek informēti par pieejamiem veselības aprūpes pakalpojumiem, pakalpojumu raksturojumiem un ieguvumiem, piemēram tiek sniegta informācija par dermatoloģijas pakalpojumiem izmantojot lāzeriekārtu, nierakmeņu lāzerskaldīšanas iespējām un artroskopiskajām operācijām dienas stacionārā. </w:t>
      </w:r>
    </w:p>
    <w:p w14:paraId="0B105596" w14:textId="77777777" w:rsidR="00E013F6" w:rsidRPr="00E013F6" w:rsidRDefault="00E013F6" w:rsidP="00E013F6">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E013F6">
        <w:rPr>
          <w:rFonts w:ascii="Times New Roman" w:hAnsi="Times New Roman" w:cs="Times New Roman"/>
          <w:sz w:val="24"/>
          <w:szCs w:val="24"/>
        </w:rPr>
        <w:t>Tiek turpināta sadarbība ar Jēkabpils ziņu portālu “Radio1” (“Ceturtdiena”) gan informēšanai par slimnīcas personālu (interviju veidošanu), gan video un audio reklāmu veidošanu. Ir uzsākta sadarbība ar vietējo laikrakstu “Brīvā Daugava” par slimnīcas notikumu, jaunumu un pasākumu atspoguļošanu, un iedzīvotaju veselības nodrošināšanai būtiskas  informācijas pasniegšanu.</w:t>
      </w:r>
    </w:p>
    <w:p w14:paraId="0CB01FE8" w14:textId="77777777" w:rsidR="00E013F6" w:rsidRPr="00E013F6" w:rsidRDefault="00E013F6" w:rsidP="00E013F6">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E013F6">
        <w:rPr>
          <w:rFonts w:ascii="Times New Roman" w:hAnsi="Times New Roman" w:cs="Times New Roman"/>
          <w:sz w:val="24"/>
          <w:szCs w:val="24"/>
        </w:rPr>
        <w:t>No 2020.gada oktobra darbam kapitālsabiedrībā uz pusslodzi tika piesaistīts  sabiedrisko attiecību speciālists, savukārt no 2021.gada sabiedrisko attiecību speciālists veic pienākumus pilnas slodzes apmērā, veicot darbus ārējās, iekšējās un krīzes komunikācijas nodrošināšanai. Tādā veidā pilnvērtīgi tiek izmantoti visi efektīvie komunikāciju kanāli dažāda vecuma mērķauditorijas sasniegšanai.</w:t>
      </w:r>
    </w:p>
    <w:p w14:paraId="5BC4B489" w14:textId="77777777" w:rsidR="00E013F6" w:rsidRPr="00E013F6" w:rsidRDefault="00E013F6" w:rsidP="00E013F6">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E013F6">
        <w:rPr>
          <w:rFonts w:ascii="Times New Roman" w:hAnsi="Times New Roman" w:cs="Times New Roman"/>
          <w:sz w:val="24"/>
          <w:szCs w:val="24"/>
        </w:rPr>
        <w:t xml:space="preserve">Paplašināta publicitāte dzemdību sniegšanas pakalpojumiem, kā arī izstrādāta jauna Māmiņu skolas nodarbību programma, iekļaujot jaunu saturu, tostarp, fizioterapeita nodarbības par hendlingu un vingrojumiem, kas atvieglo grūtniecības radītos pašsajūtas traucējumus. </w:t>
      </w:r>
      <w:r w:rsidRPr="00E013F6">
        <w:rPr>
          <w:rFonts w:ascii="Times New Roman" w:hAnsi="Times New Roman" w:cs="Times New Roman"/>
          <w:strike/>
          <w:sz w:val="24"/>
          <w:szCs w:val="24"/>
        </w:rPr>
        <w:t xml:space="preserve">sūdzības. </w:t>
      </w:r>
    </w:p>
    <w:p w14:paraId="244EE0E2" w14:textId="77777777" w:rsidR="00E013F6" w:rsidRPr="00E013F6" w:rsidRDefault="00E013F6" w:rsidP="00E013F6">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E013F6">
        <w:rPr>
          <w:rFonts w:ascii="Times New Roman" w:hAnsi="Times New Roman" w:cs="Times New Roman"/>
          <w:sz w:val="24"/>
          <w:szCs w:val="24"/>
        </w:rPr>
        <w:t>Uzsākta sadarbība ar raidījumu “Laimīgs un vesels” pakalpojumu publicitātei ne tikai reģiona ietvaros, bet arī Latvijas teritorijas mērogā, lai informētu par veselības aprūpes pakalpojumu pieejamību Jēkabpilī. 2020.gada ietvaros izveidoti četri sižeti: par Dzemdību palīdzības nodrošināšanu, par modern</w:t>
      </w:r>
      <w:r w:rsidRPr="00E013F6">
        <w:rPr>
          <w:rFonts w:ascii="Times New Roman" w:hAnsi="Times New Roman" w:cs="Times New Roman"/>
          <w:b/>
          <w:bCs/>
          <w:sz w:val="24"/>
          <w:szCs w:val="24"/>
        </w:rPr>
        <w:t>o</w:t>
      </w:r>
      <w:r w:rsidRPr="00E013F6">
        <w:rPr>
          <w:rFonts w:ascii="Times New Roman" w:hAnsi="Times New Roman" w:cs="Times New Roman"/>
          <w:sz w:val="24"/>
          <w:szCs w:val="24"/>
        </w:rPr>
        <w:t xml:space="preserve"> uroloģisko pakalpojumu pieejamību, gan par paveikto 2020.gadā un plānotajām investīcijām 2021.gadā, kā arī gada izskaņā kopsavilkums un novēlējums 2021.gadam.</w:t>
      </w:r>
    </w:p>
    <w:p w14:paraId="01161446" w14:textId="77777777" w:rsidR="00E013F6" w:rsidRPr="00E013F6" w:rsidRDefault="00E013F6" w:rsidP="00E013F6">
      <w:pPr>
        <w:widowControl w:val="0"/>
        <w:autoSpaceDE w:val="0"/>
        <w:autoSpaceDN w:val="0"/>
        <w:adjustRightInd w:val="0"/>
        <w:spacing w:after="0" w:line="360" w:lineRule="auto"/>
        <w:ind w:firstLine="426"/>
        <w:jc w:val="both"/>
        <w:rPr>
          <w:rFonts w:ascii="Times New Roman" w:eastAsia="Calibri" w:hAnsi="Times New Roman" w:cs="Times New Roman"/>
          <w:sz w:val="24"/>
          <w:szCs w:val="24"/>
        </w:rPr>
      </w:pPr>
      <w:r w:rsidRPr="00E013F6">
        <w:rPr>
          <w:rFonts w:ascii="Times New Roman" w:hAnsi="Times New Roman" w:cs="Times New Roman"/>
          <w:sz w:val="24"/>
          <w:szCs w:val="24"/>
        </w:rPr>
        <w:t>Ir sagatavotas un apstiprinātas pacientu aptaujas anketas, lai uzsāktu pacientu apmierinātības mērīšanu 2021.gadā, kas ir priekšnosacījums, lai savlaicīgi reaģētu uz  pacientu iespējamo neapmierinātību un veicinātu pakalpojumu kvalitātes uzlabošanu. Mājaslapā izveidota sadaļa “Atsauksmes”, kur ir iespējams sniegt, gan atsauksmi, gan sūdzību, gan ierosinājumu, kas automātiski nonāk slimnīcas e-pastā un uz to ir iespējams efektīvi reaģēt un ātri atbildēt iesniedzējam, ja iesniedzējs šādu iespēju ir atzīmējis kā vēlamu.</w:t>
      </w:r>
    </w:p>
    <w:p w14:paraId="0A6EFB0D" w14:textId="635A275A" w:rsidR="00671EDD" w:rsidRPr="00A16BF3" w:rsidRDefault="00671EDD" w:rsidP="000E2D46">
      <w:pPr>
        <w:spacing w:after="0" w:line="360" w:lineRule="auto"/>
        <w:jc w:val="both"/>
        <w:rPr>
          <w:rFonts w:ascii="Times New Roman" w:hAnsi="Times New Roman" w:cs="Times New Roman"/>
          <w:sz w:val="24"/>
          <w:szCs w:val="24"/>
        </w:rPr>
      </w:pPr>
    </w:p>
    <w:p w14:paraId="2C78CAF6" w14:textId="111806F4" w:rsidR="00671EDD" w:rsidRPr="000856C8" w:rsidRDefault="00671EDD" w:rsidP="000856C8">
      <w:pPr>
        <w:pStyle w:val="Heading1"/>
        <w:numPr>
          <w:ilvl w:val="0"/>
          <w:numId w:val="4"/>
        </w:numPr>
        <w:rPr>
          <w:rFonts w:ascii="Times New Roman" w:hAnsi="Times New Roman" w:cs="Times New Roman"/>
          <w:b/>
          <w:bCs/>
          <w:sz w:val="28"/>
          <w:szCs w:val="28"/>
        </w:rPr>
      </w:pPr>
      <w:bookmarkStart w:id="26" w:name="_Toc67547274"/>
      <w:r w:rsidRPr="000856C8">
        <w:rPr>
          <w:rFonts w:ascii="Times New Roman" w:hAnsi="Times New Roman" w:cs="Times New Roman"/>
          <w:b/>
          <w:bCs/>
          <w:sz w:val="28"/>
          <w:szCs w:val="28"/>
        </w:rPr>
        <w:t>Finanšu mērķi</w:t>
      </w:r>
      <w:bookmarkEnd w:id="26"/>
    </w:p>
    <w:p w14:paraId="113FDE83" w14:textId="2EE48D02" w:rsidR="00C73403" w:rsidRPr="000856C8" w:rsidRDefault="00671EDD" w:rsidP="000856C8">
      <w:pPr>
        <w:tabs>
          <w:tab w:val="left" w:pos="709"/>
        </w:tabs>
        <w:spacing w:after="0" w:line="360" w:lineRule="auto"/>
        <w:ind w:left="426"/>
        <w:rPr>
          <w:rFonts w:ascii="Times New Roman" w:hAnsi="Times New Roman" w:cs="Times New Roman"/>
          <w:i/>
          <w:iCs/>
          <w:sz w:val="24"/>
          <w:szCs w:val="24"/>
        </w:rPr>
      </w:pPr>
      <w:r w:rsidRPr="000856C8">
        <w:rPr>
          <w:rFonts w:ascii="Times New Roman" w:hAnsi="Times New Roman" w:cs="Times New Roman"/>
          <w:i/>
          <w:iCs/>
          <w:sz w:val="24"/>
          <w:szCs w:val="24"/>
        </w:rPr>
        <w:t xml:space="preserve">Slimnīcas procesu darbības rezultātu uzlabošana, samazinot izmaksas, kā arī debitoru parādus. </w:t>
      </w:r>
      <w:r w:rsidR="00BE0CAE" w:rsidRPr="000856C8">
        <w:rPr>
          <w:rFonts w:ascii="Times New Roman" w:hAnsi="Times New Roman" w:cs="Times New Roman"/>
          <w:i/>
          <w:iCs/>
          <w:sz w:val="24"/>
          <w:szCs w:val="24"/>
        </w:rPr>
        <w:t>S</w:t>
      </w:r>
      <w:r w:rsidRPr="000856C8">
        <w:rPr>
          <w:rFonts w:ascii="Times New Roman" w:hAnsi="Times New Roman" w:cs="Times New Roman"/>
          <w:i/>
          <w:iCs/>
          <w:sz w:val="24"/>
          <w:szCs w:val="24"/>
        </w:rPr>
        <w:t>niegto pakalpojumu rentabilitāte</w:t>
      </w:r>
      <w:r w:rsidR="00BE0CAE" w:rsidRPr="000856C8">
        <w:rPr>
          <w:rFonts w:ascii="Times New Roman" w:hAnsi="Times New Roman" w:cs="Times New Roman"/>
          <w:i/>
          <w:iCs/>
          <w:sz w:val="24"/>
          <w:szCs w:val="24"/>
        </w:rPr>
        <w:t>s</w:t>
      </w:r>
      <w:r w:rsidRPr="000856C8">
        <w:rPr>
          <w:rFonts w:ascii="Times New Roman" w:hAnsi="Times New Roman" w:cs="Times New Roman"/>
          <w:i/>
          <w:iCs/>
          <w:sz w:val="24"/>
          <w:szCs w:val="24"/>
        </w:rPr>
        <w:t xml:space="preserve"> un ietekme</w:t>
      </w:r>
      <w:r w:rsidR="00BE0CAE" w:rsidRPr="000856C8">
        <w:rPr>
          <w:rFonts w:ascii="Times New Roman" w:hAnsi="Times New Roman" w:cs="Times New Roman"/>
          <w:i/>
          <w:iCs/>
          <w:sz w:val="24"/>
          <w:szCs w:val="24"/>
        </w:rPr>
        <w:t>s</w:t>
      </w:r>
      <w:r w:rsidRPr="000856C8">
        <w:rPr>
          <w:rFonts w:ascii="Times New Roman" w:hAnsi="Times New Roman" w:cs="Times New Roman"/>
          <w:i/>
          <w:iCs/>
          <w:sz w:val="24"/>
          <w:szCs w:val="24"/>
        </w:rPr>
        <w:t xml:space="preserve"> uz kopējiem Slimnīcas finanšu rādītājiem</w:t>
      </w:r>
      <w:r w:rsidR="00BE0CAE" w:rsidRPr="000856C8">
        <w:rPr>
          <w:rFonts w:ascii="Times New Roman" w:hAnsi="Times New Roman" w:cs="Times New Roman"/>
          <w:i/>
          <w:iCs/>
          <w:sz w:val="24"/>
          <w:szCs w:val="24"/>
        </w:rPr>
        <w:t xml:space="preserve"> vērtēšana.</w:t>
      </w:r>
    </w:p>
    <w:p w14:paraId="436ED0AC" w14:textId="77777777" w:rsidR="00E013F6" w:rsidRPr="00E013F6" w:rsidRDefault="00E013F6" w:rsidP="00E013F6">
      <w:pPr>
        <w:suppressAutoHyphens/>
        <w:spacing w:after="0" w:line="360" w:lineRule="auto"/>
        <w:ind w:firstLine="426"/>
        <w:jc w:val="both"/>
        <w:rPr>
          <w:rFonts w:ascii="Times New Roman" w:eastAsia="Calibri" w:hAnsi="Times New Roman" w:cs="Times New Roman"/>
          <w:color w:val="000000"/>
          <w:sz w:val="24"/>
          <w:szCs w:val="24"/>
          <w:lang w:eastAsia="zh-CN"/>
        </w:rPr>
      </w:pPr>
      <w:r w:rsidRPr="00E013F6">
        <w:rPr>
          <w:rFonts w:ascii="Times New Roman" w:eastAsia="Calibri" w:hAnsi="Times New Roman" w:cs="Times New Roman"/>
          <w:color w:val="000000"/>
          <w:sz w:val="24"/>
          <w:szCs w:val="24"/>
          <w:lang w:eastAsia="zh-CN"/>
        </w:rPr>
        <w:t xml:space="preserve">2020.gadā uzsākta un tiek turpināta pakalpojumu sniegšanas, atalgojuma politikas izvērtēšana, kapitālsabiedrības organizācijas struktūras caurskatīšana, analizējot izdevumu/ienākumu pozīcijas pa pakalpojumu programmām, ar mērķi identificēt pakalpojumu </w:t>
      </w:r>
      <w:r w:rsidRPr="00E013F6">
        <w:rPr>
          <w:rFonts w:ascii="Times New Roman" w:eastAsia="Calibri" w:hAnsi="Times New Roman" w:cs="Times New Roman"/>
          <w:color w:val="000000"/>
          <w:sz w:val="24"/>
          <w:szCs w:val="24"/>
          <w:lang w:eastAsia="zh-CN"/>
        </w:rPr>
        <w:lastRenderedPageBreak/>
        <w:t>programmas, kas prasa tūlītēju rentabilitātes izvērtēšanu, kā arī ilgtermiņā vērtēt pakalpojumu sniegšanas efektivitāti, ņemot vērā ieguldāmos resursu un ienākumus no valsts vai privātpersonām kā par maksas pakalpojumu. Vienlaicīgi tiek veikts pacientu skaita monitorings nodaļās, lai salāgotu māsu noslodzi, proti, pacientu skaits uz vienu māsu/māsu palīgu, atbilstoši arī Veselības ministrijas nostādnēm par vienu posteņa vienību atkarībā no nodaļas profila un veicamā darba rakstura. Tādā veidā iespējams pārcelt māsas no vienas nodaļas uz citu, atkarībā no nepieciešamās noslodzes, kas jo īpaši būtiski bija personāla saslimšanas periodā un nodrošināmām covid pacientu ārstēšanas prasībām visām reģionālām slimnīcām (vienādā proporcijā no kopējā stacionārā gultu skaita).</w:t>
      </w:r>
    </w:p>
    <w:p w14:paraId="3F395E32" w14:textId="43227318" w:rsidR="00E013F6" w:rsidRDefault="00E013F6" w:rsidP="00E013F6">
      <w:pPr>
        <w:suppressAutoHyphens/>
        <w:spacing w:after="0" w:line="360" w:lineRule="auto"/>
        <w:ind w:firstLine="426"/>
        <w:jc w:val="both"/>
        <w:rPr>
          <w:rFonts w:ascii="Times New Roman" w:hAnsi="Times New Roman" w:cs="Times New Roman"/>
          <w:color w:val="000000"/>
          <w:sz w:val="24"/>
          <w:szCs w:val="24"/>
          <w:lang w:eastAsia="zh-CN"/>
        </w:rPr>
      </w:pPr>
      <w:r w:rsidRPr="00E013F6">
        <w:rPr>
          <w:rFonts w:ascii="Times New Roman" w:hAnsi="Times New Roman" w:cs="Times New Roman"/>
          <w:color w:val="000000"/>
          <w:sz w:val="24"/>
          <w:szCs w:val="24"/>
          <w:lang w:eastAsia="zh-CN"/>
        </w:rPr>
        <w:t>Pārskata periodu sabiedrība noslēgusi ar peļņu 73 311 EUR (salīdzinājumā 2019.gadā zaudējumi  - 121 706 EUR). Apgrozījums 14 131 529 EUR, tas ir palielinājies par  5.5%, kas saistīts ar to, ka palielinājies Nacionālā veselības dienesta finansējums salīdzinot ar 2019.gadu, kā arī, tai skaitā,  saskaņā ar Finanšu ministrijas rīkojumu 2020.gadā, saņemts no valsts budžeta finanšu līdzekļiem neparedzētiem gadījumiem finansējums COVID-19 ārstniecības un individuālo aizsardzības  līdzekļu iegādei, COVID-19 riska  un virsstundu piemaksu izmaksu kompensācijām darbiniekiem</w:t>
      </w:r>
      <w:r>
        <w:rPr>
          <w:rFonts w:ascii="Times New Roman" w:hAnsi="Times New Roman" w:cs="Times New Roman"/>
          <w:color w:val="000000"/>
          <w:sz w:val="24"/>
          <w:szCs w:val="24"/>
          <w:lang w:eastAsia="zh-CN"/>
        </w:rPr>
        <w:t>.</w:t>
      </w:r>
    </w:p>
    <w:p w14:paraId="1BA626E7" w14:textId="77777777" w:rsidR="00E013F6" w:rsidRDefault="00E013F6">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br w:type="page"/>
      </w:r>
    </w:p>
    <w:p w14:paraId="0C2A0585" w14:textId="1835D6E5" w:rsidR="00002C49" w:rsidRPr="000856C8" w:rsidRDefault="00E013F6" w:rsidP="000856C8">
      <w:pPr>
        <w:pStyle w:val="Heading1"/>
        <w:numPr>
          <w:ilvl w:val="0"/>
          <w:numId w:val="4"/>
        </w:numPr>
        <w:rPr>
          <w:rFonts w:ascii="Times New Roman" w:eastAsia="Calibri" w:hAnsi="Times New Roman" w:cs="Times New Roman"/>
          <w:b/>
          <w:bCs/>
          <w:color w:val="000000"/>
          <w:sz w:val="28"/>
          <w:szCs w:val="28"/>
          <w:lang w:eastAsia="zh-CN"/>
        </w:rPr>
      </w:pPr>
      <w:bookmarkStart w:id="27" w:name="_Toc67547275"/>
      <w:r w:rsidRPr="000856C8">
        <w:rPr>
          <w:rFonts w:ascii="Times New Roman" w:hAnsi="Times New Roman" w:cs="Times New Roman"/>
          <w:b/>
          <w:bCs/>
          <w:sz w:val="28"/>
          <w:szCs w:val="28"/>
        </w:rPr>
        <w:lastRenderedPageBreak/>
        <w:t xml:space="preserve">Rezultatīvo </w:t>
      </w:r>
      <w:r w:rsidRPr="000856C8">
        <w:rPr>
          <w:rFonts w:ascii="Times New Roman" w:hAnsi="Times New Roman" w:cs="Times New Roman"/>
          <w:b/>
          <w:bCs/>
          <w:sz w:val="28"/>
          <w:szCs w:val="28"/>
        </w:rPr>
        <w:t>rādītāju</w:t>
      </w:r>
      <w:r w:rsidRPr="000856C8">
        <w:rPr>
          <w:rFonts w:ascii="Times New Roman" w:hAnsi="Times New Roman" w:cs="Times New Roman"/>
          <w:b/>
          <w:bCs/>
          <w:sz w:val="28"/>
          <w:szCs w:val="28"/>
        </w:rPr>
        <w:t xml:space="preserve"> izpilde</w:t>
      </w:r>
      <w:bookmarkEnd w:id="27"/>
    </w:p>
    <w:p w14:paraId="5261961C" w14:textId="5124309C" w:rsidR="0067582E" w:rsidRPr="00DB621D" w:rsidRDefault="0067582E" w:rsidP="00E013F6">
      <w:pPr>
        <w:pStyle w:val="ListParagraph"/>
        <w:spacing w:after="0" w:line="360" w:lineRule="auto"/>
        <w:ind w:left="360"/>
        <w:rPr>
          <w:rFonts w:ascii="Times New Roman" w:hAnsi="Times New Roman" w:cs="Times New Roman"/>
          <w:b/>
          <w:bCs/>
          <w:sz w:val="28"/>
          <w:szCs w:val="28"/>
        </w:rPr>
      </w:pPr>
    </w:p>
    <w:tbl>
      <w:tblPr>
        <w:tblStyle w:val="TableGrid"/>
        <w:tblpPr w:leftFromText="180" w:rightFromText="180" w:horzAnchor="margin" w:tblpY="506"/>
        <w:tblW w:w="5105" w:type="pct"/>
        <w:tblLayout w:type="fixed"/>
        <w:tblLook w:val="04A0" w:firstRow="1" w:lastRow="0" w:firstColumn="1" w:lastColumn="0" w:noHBand="0" w:noVBand="1"/>
      </w:tblPr>
      <w:tblGrid>
        <w:gridCol w:w="1462"/>
        <w:gridCol w:w="4402"/>
        <w:gridCol w:w="1135"/>
        <w:gridCol w:w="929"/>
        <w:gridCol w:w="1612"/>
      </w:tblGrid>
      <w:tr w:rsidR="0067582E" w:rsidRPr="00A16BF3" w14:paraId="320CFF9F" w14:textId="77777777" w:rsidTr="005F4B51">
        <w:tc>
          <w:tcPr>
            <w:tcW w:w="5000" w:type="pct"/>
            <w:gridSpan w:val="5"/>
            <w:tcBorders>
              <w:bottom w:val="single" w:sz="4" w:space="0" w:color="auto"/>
            </w:tcBorders>
          </w:tcPr>
          <w:p w14:paraId="473FC25E" w14:textId="77777777" w:rsidR="0067582E" w:rsidRPr="00A16BF3" w:rsidRDefault="0067582E" w:rsidP="000E2D46">
            <w:pPr>
              <w:spacing w:line="360" w:lineRule="auto"/>
              <w:jc w:val="both"/>
              <w:rPr>
                <w:rFonts w:ascii="Times New Roman" w:eastAsia="Calibri" w:hAnsi="Times New Roman" w:cs="Times New Roman"/>
                <w:sz w:val="24"/>
                <w:szCs w:val="24"/>
                <w:lang w:eastAsia="x-none"/>
              </w:rPr>
            </w:pPr>
            <w:bookmarkStart w:id="28" w:name="_Hlk66877083"/>
            <w:bookmarkStart w:id="29" w:name="_Hlk66703151"/>
            <w:r w:rsidRPr="00A16BF3">
              <w:rPr>
                <w:rFonts w:ascii="Times New Roman" w:hAnsi="Times New Roman" w:cs="Times New Roman"/>
                <w:b/>
                <w:sz w:val="28"/>
                <w:szCs w:val="28"/>
              </w:rPr>
              <w:t>Stratēģiskais mērķis</w:t>
            </w:r>
            <w:r w:rsidRPr="00A16BF3">
              <w:rPr>
                <w:rFonts w:ascii="Times New Roman" w:hAnsi="Times New Roman" w:cs="Times New Roman"/>
                <w:b/>
                <w:sz w:val="20"/>
                <w:szCs w:val="20"/>
              </w:rPr>
              <w:t xml:space="preserve"> </w:t>
            </w:r>
            <w:r w:rsidRPr="00A16BF3">
              <w:rPr>
                <w:rFonts w:ascii="Times New Roman" w:eastAsia="Calibri" w:hAnsi="Times New Roman" w:cs="Times New Roman"/>
                <w:sz w:val="24"/>
                <w:szCs w:val="24"/>
                <w:lang w:eastAsia="x-none"/>
              </w:rPr>
              <w:t xml:space="preserve"> </w:t>
            </w:r>
          </w:p>
          <w:p w14:paraId="74105800" w14:textId="77777777" w:rsidR="0067582E" w:rsidRPr="00A16BF3" w:rsidRDefault="0067582E" w:rsidP="000E2D46">
            <w:pPr>
              <w:spacing w:line="360" w:lineRule="auto"/>
              <w:jc w:val="both"/>
              <w:rPr>
                <w:rFonts w:ascii="Times New Roman" w:hAnsi="Times New Roman" w:cs="Times New Roman"/>
                <w:b/>
                <w:sz w:val="20"/>
                <w:szCs w:val="20"/>
              </w:rPr>
            </w:pPr>
            <w:r w:rsidRPr="00A16BF3">
              <w:rPr>
                <w:rFonts w:ascii="Times New Roman" w:eastAsia="Calibri" w:hAnsi="Times New Roman" w:cs="Times New Roman"/>
                <w:sz w:val="24"/>
                <w:szCs w:val="24"/>
                <w:lang w:eastAsia="x-none"/>
              </w:rPr>
              <w:t>Kvalitatīvas veselības aprūpes pieejamības un pilnveides nodrošināšana, atbilstošas infrastruktūras attīstība, veselības veicināšana un slimību profilakse, rehabilitācijas pakalpojumu pieejamība un attīstība, nodrošinot daudzprofilu neatliekamās medicīniskās palīdzības slimnīcas statusa saglabāšanu. Veselības pakalpojumu sniegšanai nepieciešamās infrastruktūras uzlabošana un pakalpojumu klāstu pilnveidošana</w:t>
            </w:r>
          </w:p>
        </w:tc>
      </w:tr>
      <w:tr w:rsidR="005F4B51" w:rsidRPr="00A16BF3" w14:paraId="12FDEF1A" w14:textId="77777777" w:rsidTr="005F4B51">
        <w:tc>
          <w:tcPr>
            <w:tcW w:w="5000" w:type="pct"/>
            <w:gridSpan w:val="5"/>
            <w:tcBorders>
              <w:top w:val="single" w:sz="4" w:space="0" w:color="auto"/>
              <w:left w:val="nil"/>
              <w:bottom w:val="single" w:sz="4" w:space="0" w:color="auto"/>
              <w:right w:val="nil"/>
            </w:tcBorders>
          </w:tcPr>
          <w:p w14:paraId="0ECE14BA" w14:textId="77777777" w:rsidR="005F4B51" w:rsidRPr="005F4B51" w:rsidRDefault="005F4B51" w:rsidP="000E2D46">
            <w:pPr>
              <w:spacing w:line="360" w:lineRule="auto"/>
              <w:jc w:val="both"/>
              <w:rPr>
                <w:rFonts w:ascii="Times New Roman" w:hAnsi="Times New Roman" w:cs="Times New Roman"/>
                <w:b/>
                <w:sz w:val="20"/>
                <w:szCs w:val="20"/>
              </w:rPr>
            </w:pPr>
          </w:p>
        </w:tc>
      </w:tr>
      <w:tr w:rsidR="0067582E" w:rsidRPr="00A16BF3" w14:paraId="0D4E849F" w14:textId="77777777" w:rsidTr="005F4B51">
        <w:tc>
          <w:tcPr>
            <w:tcW w:w="5000" w:type="pct"/>
            <w:gridSpan w:val="5"/>
            <w:tcBorders>
              <w:top w:val="single" w:sz="4" w:space="0" w:color="auto"/>
            </w:tcBorders>
          </w:tcPr>
          <w:p w14:paraId="37B747E9" w14:textId="77777777" w:rsidR="0067582E" w:rsidRPr="00A16BF3" w:rsidRDefault="0067582E" w:rsidP="000E2D46">
            <w:pPr>
              <w:spacing w:line="360" w:lineRule="auto"/>
              <w:jc w:val="center"/>
              <w:rPr>
                <w:rFonts w:ascii="Times New Roman" w:hAnsi="Times New Roman" w:cs="Times New Roman"/>
                <w:b/>
                <w:sz w:val="28"/>
                <w:szCs w:val="28"/>
              </w:rPr>
            </w:pPr>
            <w:r w:rsidRPr="00A16BF3">
              <w:rPr>
                <w:rFonts w:ascii="Times New Roman" w:hAnsi="Times New Roman" w:cs="Times New Roman"/>
                <w:b/>
                <w:sz w:val="28"/>
                <w:szCs w:val="28"/>
              </w:rPr>
              <w:t>1. Nefinanšu mērķi</w:t>
            </w:r>
          </w:p>
        </w:tc>
      </w:tr>
      <w:tr w:rsidR="0067582E" w:rsidRPr="00A16BF3" w14:paraId="4C13C716" w14:textId="77777777" w:rsidTr="005F4B51">
        <w:tc>
          <w:tcPr>
            <w:tcW w:w="5000" w:type="pct"/>
            <w:gridSpan w:val="5"/>
          </w:tcPr>
          <w:p w14:paraId="18428C79" w14:textId="77777777" w:rsidR="0067582E" w:rsidRPr="00A16BF3" w:rsidRDefault="0067582E" w:rsidP="000E2D46">
            <w:pPr>
              <w:spacing w:line="360" w:lineRule="auto"/>
              <w:jc w:val="center"/>
              <w:rPr>
                <w:rFonts w:ascii="Times New Roman" w:hAnsi="Times New Roman" w:cs="Times New Roman"/>
                <w:b/>
                <w:sz w:val="24"/>
                <w:szCs w:val="24"/>
              </w:rPr>
            </w:pPr>
            <w:r w:rsidRPr="00A16BF3">
              <w:rPr>
                <w:rFonts w:ascii="Times New Roman" w:hAnsi="Times New Roman" w:cs="Times New Roman"/>
                <w:b/>
                <w:sz w:val="24"/>
                <w:szCs w:val="24"/>
              </w:rPr>
              <w:t>Darbības virziens – uzlabot veselības aprūpes pakalpojumu pieejamību</w:t>
            </w:r>
          </w:p>
        </w:tc>
      </w:tr>
      <w:tr w:rsidR="0067582E" w:rsidRPr="00A16BF3" w14:paraId="45C844BA" w14:textId="77777777" w:rsidTr="005F4B51">
        <w:tc>
          <w:tcPr>
            <w:tcW w:w="3073" w:type="pct"/>
            <w:gridSpan w:val="2"/>
          </w:tcPr>
          <w:p w14:paraId="2DC97B9F" w14:textId="77777777" w:rsidR="0067582E" w:rsidRPr="00A16BF3" w:rsidRDefault="0067582E" w:rsidP="000E2D46">
            <w:pPr>
              <w:spacing w:line="360" w:lineRule="auto"/>
              <w:rPr>
                <w:rFonts w:ascii="Times New Roman" w:hAnsi="Times New Roman" w:cs="Times New Roman"/>
                <w:b/>
                <w:sz w:val="20"/>
                <w:szCs w:val="20"/>
              </w:rPr>
            </w:pPr>
            <w:r w:rsidRPr="00A16BF3">
              <w:rPr>
                <w:rFonts w:ascii="Times New Roman" w:hAnsi="Times New Roman" w:cs="Times New Roman"/>
                <w:b/>
                <w:sz w:val="20"/>
                <w:szCs w:val="20"/>
              </w:rPr>
              <w:t>Rezultatīvais rādītājs</w:t>
            </w:r>
          </w:p>
        </w:tc>
        <w:tc>
          <w:tcPr>
            <w:tcW w:w="595" w:type="pct"/>
          </w:tcPr>
          <w:p w14:paraId="25985A6E" w14:textId="77777777" w:rsidR="0067582E" w:rsidRPr="00A16BF3" w:rsidRDefault="0067582E" w:rsidP="00A16BF3">
            <w:pPr>
              <w:jc w:val="center"/>
              <w:rPr>
                <w:rFonts w:ascii="Times New Roman" w:hAnsi="Times New Roman" w:cs="Times New Roman"/>
                <w:b/>
                <w:sz w:val="20"/>
                <w:szCs w:val="20"/>
              </w:rPr>
            </w:pPr>
            <w:r w:rsidRPr="00A16BF3">
              <w:rPr>
                <w:rFonts w:ascii="Times New Roman" w:hAnsi="Times New Roman" w:cs="Times New Roman"/>
                <w:b/>
                <w:sz w:val="20"/>
                <w:szCs w:val="20"/>
              </w:rPr>
              <w:t>2019</w:t>
            </w:r>
          </w:p>
        </w:tc>
        <w:tc>
          <w:tcPr>
            <w:tcW w:w="487" w:type="pct"/>
          </w:tcPr>
          <w:p w14:paraId="60D1F55E" w14:textId="77777777" w:rsidR="0067582E" w:rsidRPr="00A16BF3" w:rsidRDefault="0067582E" w:rsidP="00A16BF3">
            <w:pPr>
              <w:jc w:val="center"/>
              <w:rPr>
                <w:rFonts w:ascii="Times New Roman" w:hAnsi="Times New Roman" w:cs="Times New Roman"/>
                <w:b/>
                <w:sz w:val="20"/>
                <w:szCs w:val="20"/>
              </w:rPr>
            </w:pPr>
            <w:r w:rsidRPr="00A16BF3">
              <w:rPr>
                <w:rFonts w:ascii="Times New Roman" w:hAnsi="Times New Roman" w:cs="Times New Roman"/>
                <w:b/>
                <w:sz w:val="20"/>
                <w:szCs w:val="20"/>
              </w:rPr>
              <w:t>2020 plāns</w:t>
            </w:r>
          </w:p>
        </w:tc>
        <w:tc>
          <w:tcPr>
            <w:tcW w:w="845" w:type="pct"/>
          </w:tcPr>
          <w:p w14:paraId="44928508" w14:textId="77777777" w:rsidR="00A16BF3" w:rsidRDefault="0067582E" w:rsidP="00A16BF3">
            <w:pPr>
              <w:jc w:val="center"/>
              <w:rPr>
                <w:rFonts w:ascii="Times New Roman" w:hAnsi="Times New Roman" w:cs="Times New Roman"/>
                <w:b/>
                <w:sz w:val="20"/>
                <w:szCs w:val="20"/>
              </w:rPr>
            </w:pPr>
            <w:r w:rsidRPr="00A16BF3">
              <w:rPr>
                <w:rFonts w:ascii="Times New Roman" w:hAnsi="Times New Roman" w:cs="Times New Roman"/>
                <w:b/>
                <w:sz w:val="20"/>
                <w:szCs w:val="20"/>
              </w:rPr>
              <w:t>2020</w:t>
            </w:r>
          </w:p>
          <w:p w14:paraId="71BEF4F5" w14:textId="001BC649" w:rsidR="0067582E" w:rsidRPr="00A16BF3" w:rsidRDefault="0067582E" w:rsidP="00A16BF3">
            <w:pPr>
              <w:jc w:val="center"/>
              <w:rPr>
                <w:rFonts w:ascii="Times New Roman" w:hAnsi="Times New Roman" w:cs="Times New Roman"/>
                <w:b/>
                <w:sz w:val="20"/>
                <w:szCs w:val="20"/>
              </w:rPr>
            </w:pPr>
            <w:r w:rsidRPr="00A16BF3">
              <w:rPr>
                <w:rFonts w:ascii="Times New Roman" w:hAnsi="Times New Roman" w:cs="Times New Roman"/>
                <w:b/>
                <w:sz w:val="20"/>
                <w:szCs w:val="20"/>
              </w:rPr>
              <w:t>fakts</w:t>
            </w:r>
          </w:p>
        </w:tc>
      </w:tr>
      <w:tr w:rsidR="0067582E" w:rsidRPr="00A16BF3" w14:paraId="3CA3C082" w14:textId="77777777" w:rsidTr="005F4B51">
        <w:tc>
          <w:tcPr>
            <w:tcW w:w="3073" w:type="pct"/>
            <w:gridSpan w:val="2"/>
          </w:tcPr>
          <w:p w14:paraId="2F0178CD"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Kopējais stacionāro gultu skaits</w:t>
            </w:r>
          </w:p>
        </w:tc>
        <w:tc>
          <w:tcPr>
            <w:tcW w:w="595" w:type="pct"/>
          </w:tcPr>
          <w:p w14:paraId="66841328" w14:textId="77777777" w:rsidR="0067582E" w:rsidRPr="00A16BF3" w:rsidRDefault="0067582E" w:rsidP="005F4B51">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292 (vid)</w:t>
            </w:r>
          </w:p>
        </w:tc>
        <w:tc>
          <w:tcPr>
            <w:tcW w:w="487" w:type="pct"/>
          </w:tcPr>
          <w:p w14:paraId="73DFD8B1" w14:textId="77777777" w:rsidR="0067582E" w:rsidRPr="00A16BF3" w:rsidRDefault="0067582E" w:rsidP="005F4B51">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221</w:t>
            </w:r>
          </w:p>
        </w:tc>
        <w:tc>
          <w:tcPr>
            <w:tcW w:w="845" w:type="pct"/>
          </w:tcPr>
          <w:p w14:paraId="6D890578" w14:textId="77777777" w:rsidR="0067582E" w:rsidRPr="00A16BF3" w:rsidRDefault="0067582E" w:rsidP="005F4B51">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233</w:t>
            </w:r>
          </w:p>
        </w:tc>
      </w:tr>
      <w:tr w:rsidR="0067582E" w:rsidRPr="00A16BF3" w14:paraId="4BB92C5C" w14:textId="77777777" w:rsidTr="005F4B51">
        <w:tc>
          <w:tcPr>
            <w:tcW w:w="3073" w:type="pct"/>
            <w:gridSpan w:val="2"/>
          </w:tcPr>
          <w:p w14:paraId="711D1510"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Kopējais dienas stacionāra gultu skaits</w:t>
            </w:r>
          </w:p>
        </w:tc>
        <w:tc>
          <w:tcPr>
            <w:tcW w:w="595" w:type="pct"/>
          </w:tcPr>
          <w:p w14:paraId="03BDFEDA" w14:textId="77777777" w:rsidR="0067582E" w:rsidRPr="00A16BF3" w:rsidRDefault="0067582E" w:rsidP="000E2D46">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25</w:t>
            </w:r>
          </w:p>
        </w:tc>
        <w:tc>
          <w:tcPr>
            <w:tcW w:w="487" w:type="pct"/>
          </w:tcPr>
          <w:p w14:paraId="2AE6A45F" w14:textId="77777777" w:rsidR="0067582E" w:rsidRPr="00A16BF3" w:rsidRDefault="0067582E" w:rsidP="000E2D46">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30</w:t>
            </w:r>
          </w:p>
        </w:tc>
        <w:tc>
          <w:tcPr>
            <w:tcW w:w="845" w:type="pct"/>
          </w:tcPr>
          <w:p w14:paraId="6D3CACAC" w14:textId="77777777" w:rsidR="0067582E" w:rsidRPr="00A16BF3" w:rsidRDefault="0067582E" w:rsidP="000E2D46">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31</w:t>
            </w:r>
          </w:p>
        </w:tc>
      </w:tr>
      <w:tr w:rsidR="0067582E" w:rsidRPr="00A16BF3" w14:paraId="480EE731" w14:textId="77777777" w:rsidTr="005F4B51">
        <w:tc>
          <w:tcPr>
            <w:tcW w:w="3073" w:type="pct"/>
            <w:gridSpan w:val="2"/>
          </w:tcPr>
          <w:p w14:paraId="19E7923A"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Praktizējošo ārstu / māsu skaits</w:t>
            </w:r>
          </w:p>
        </w:tc>
        <w:tc>
          <w:tcPr>
            <w:tcW w:w="595" w:type="pct"/>
          </w:tcPr>
          <w:p w14:paraId="63E17583" w14:textId="77777777" w:rsidR="0067582E" w:rsidRPr="00A16BF3" w:rsidRDefault="0067582E" w:rsidP="005F4B51">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102/214</w:t>
            </w:r>
          </w:p>
        </w:tc>
        <w:tc>
          <w:tcPr>
            <w:tcW w:w="487" w:type="pct"/>
          </w:tcPr>
          <w:p w14:paraId="5B661681" w14:textId="77777777" w:rsidR="0067582E" w:rsidRPr="00A16BF3" w:rsidRDefault="0067582E" w:rsidP="005F4B51">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102/214</w:t>
            </w:r>
          </w:p>
        </w:tc>
        <w:tc>
          <w:tcPr>
            <w:tcW w:w="845" w:type="pct"/>
          </w:tcPr>
          <w:p w14:paraId="767A2CA0" w14:textId="77777777" w:rsidR="0067582E" w:rsidRPr="00A16BF3" w:rsidRDefault="0067582E" w:rsidP="005F4B51">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102/214</w:t>
            </w:r>
          </w:p>
        </w:tc>
      </w:tr>
      <w:tr w:rsidR="0067582E" w:rsidRPr="00A16BF3" w14:paraId="3723BD0A" w14:textId="77777777" w:rsidTr="005F4B51">
        <w:tc>
          <w:tcPr>
            <w:tcW w:w="3073" w:type="pct"/>
            <w:gridSpan w:val="2"/>
          </w:tcPr>
          <w:p w14:paraId="7EC82062"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Ārstniecības personu vecuma grupā 25-45 gadiem īpatsvars</w:t>
            </w:r>
          </w:p>
        </w:tc>
        <w:tc>
          <w:tcPr>
            <w:tcW w:w="595" w:type="pct"/>
          </w:tcPr>
          <w:p w14:paraId="5E8F4AC8" w14:textId="77777777" w:rsidR="0067582E" w:rsidRPr="00A16BF3" w:rsidRDefault="0067582E" w:rsidP="005F4B51">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29.3%</w:t>
            </w:r>
          </w:p>
        </w:tc>
        <w:tc>
          <w:tcPr>
            <w:tcW w:w="487" w:type="pct"/>
          </w:tcPr>
          <w:p w14:paraId="3A34CC2C" w14:textId="77777777" w:rsidR="0067582E" w:rsidRPr="00A16BF3" w:rsidRDefault="0067582E" w:rsidP="005F4B51">
            <w:pPr>
              <w:spacing w:line="360" w:lineRule="auto"/>
              <w:jc w:val="center"/>
              <w:rPr>
                <w:rFonts w:ascii="Times New Roman" w:hAnsi="Times New Roman" w:cs="Times New Roman"/>
                <w:bCs/>
                <w:sz w:val="20"/>
                <w:szCs w:val="20"/>
              </w:rPr>
            </w:pPr>
            <w:r w:rsidRPr="00A16BF3">
              <w:rPr>
                <w:rFonts w:ascii="Times New Roman" w:hAnsi="Times New Roman" w:cs="Times New Roman"/>
                <w:bCs/>
                <w:sz w:val="20"/>
                <w:szCs w:val="20"/>
              </w:rPr>
              <w:t>29.3%</w:t>
            </w:r>
          </w:p>
        </w:tc>
        <w:tc>
          <w:tcPr>
            <w:tcW w:w="845" w:type="pct"/>
          </w:tcPr>
          <w:p w14:paraId="168994F2" w14:textId="77777777" w:rsidR="0067582E" w:rsidRPr="00A16BF3" w:rsidRDefault="0067582E" w:rsidP="005F4B51">
            <w:pPr>
              <w:spacing w:line="360" w:lineRule="auto"/>
              <w:jc w:val="center"/>
              <w:rPr>
                <w:rFonts w:ascii="Times New Roman" w:hAnsi="Times New Roman" w:cs="Times New Roman"/>
                <w:bCs/>
                <w:sz w:val="20"/>
                <w:szCs w:val="20"/>
                <w:highlight w:val="yellow"/>
              </w:rPr>
            </w:pPr>
            <w:r w:rsidRPr="00A16BF3">
              <w:rPr>
                <w:rFonts w:ascii="Times New Roman" w:hAnsi="Times New Roman" w:cs="Times New Roman"/>
                <w:bCs/>
                <w:sz w:val="20"/>
                <w:szCs w:val="20"/>
              </w:rPr>
              <w:t>29.3%</w:t>
            </w:r>
          </w:p>
        </w:tc>
      </w:tr>
      <w:tr w:rsidR="0067582E" w:rsidRPr="00A16BF3" w14:paraId="64632CC6" w14:textId="77777777" w:rsidTr="005F4B51">
        <w:tc>
          <w:tcPr>
            <w:tcW w:w="766" w:type="pct"/>
            <w:vMerge w:val="restart"/>
          </w:tcPr>
          <w:p w14:paraId="7117FA27" w14:textId="77777777" w:rsidR="0067582E" w:rsidRPr="00A16BF3" w:rsidRDefault="0067582E" w:rsidP="000E2D46">
            <w:pPr>
              <w:spacing w:line="360" w:lineRule="auto"/>
              <w:jc w:val="center"/>
              <w:rPr>
                <w:rFonts w:ascii="Times New Roman" w:hAnsi="Times New Roman" w:cs="Times New Roman"/>
                <w:sz w:val="20"/>
                <w:szCs w:val="20"/>
              </w:rPr>
            </w:pPr>
          </w:p>
          <w:p w14:paraId="3FE49BFC" w14:textId="77777777" w:rsidR="0067582E" w:rsidRPr="00A16BF3" w:rsidRDefault="0067582E" w:rsidP="000E2D46">
            <w:pPr>
              <w:spacing w:line="360" w:lineRule="auto"/>
              <w:jc w:val="center"/>
              <w:rPr>
                <w:rFonts w:ascii="Times New Roman" w:hAnsi="Times New Roman" w:cs="Times New Roman"/>
                <w:sz w:val="20"/>
                <w:szCs w:val="20"/>
              </w:rPr>
            </w:pPr>
          </w:p>
          <w:p w14:paraId="4040E917" w14:textId="77777777" w:rsidR="0067582E" w:rsidRPr="00A16BF3" w:rsidRDefault="0067582E" w:rsidP="000E2D46">
            <w:pPr>
              <w:spacing w:line="360" w:lineRule="auto"/>
              <w:jc w:val="center"/>
              <w:rPr>
                <w:rFonts w:ascii="Times New Roman" w:hAnsi="Times New Roman" w:cs="Times New Roman"/>
                <w:sz w:val="20"/>
                <w:szCs w:val="20"/>
              </w:rPr>
            </w:pPr>
          </w:p>
          <w:p w14:paraId="153AE954" w14:textId="77777777" w:rsidR="0067582E" w:rsidRPr="00A16BF3" w:rsidRDefault="0067582E" w:rsidP="000E2D46">
            <w:pPr>
              <w:spacing w:line="360" w:lineRule="auto"/>
              <w:jc w:val="center"/>
              <w:rPr>
                <w:rFonts w:ascii="Times New Roman" w:hAnsi="Times New Roman" w:cs="Times New Roman"/>
                <w:sz w:val="20"/>
                <w:szCs w:val="20"/>
              </w:rPr>
            </w:pPr>
          </w:p>
          <w:p w14:paraId="10160A6B" w14:textId="77777777" w:rsidR="0067582E" w:rsidRPr="00A16BF3" w:rsidRDefault="0067582E" w:rsidP="000E2D46">
            <w:pPr>
              <w:spacing w:line="360" w:lineRule="auto"/>
              <w:jc w:val="center"/>
              <w:rPr>
                <w:rFonts w:ascii="Times New Roman" w:hAnsi="Times New Roman" w:cs="Times New Roman"/>
                <w:sz w:val="20"/>
                <w:szCs w:val="20"/>
              </w:rPr>
            </w:pPr>
          </w:p>
          <w:p w14:paraId="389A689D" w14:textId="77777777" w:rsidR="0067582E" w:rsidRPr="00A16BF3" w:rsidRDefault="0067582E" w:rsidP="000E2D46">
            <w:pPr>
              <w:spacing w:line="360" w:lineRule="auto"/>
              <w:jc w:val="center"/>
              <w:rPr>
                <w:rFonts w:ascii="Times New Roman" w:hAnsi="Times New Roman" w:cs="Times New Roman"/>
                <w:sz w:val="20"/>
                <w:szCs w:val="20"/>
              </w:rPr>
            </w:pPr>
          </w:p>
          <w:p w14:paraId="16AC1C4A" w14:textId="77777777" w:rsidR="0067582E" w:rsidRPr="00A16BF3" w:rsidRDefault="0067582E" w:rsidP="000E2D46">
            <w:pPr>
              <w:spacing w:line="360" w:lineRule="auto"/>
              <w:jc w:val="center"/>
              <w:rPr>
                <w:rFonts w:ascii="Times New Roman" w:hAnsi="Times New Roman" w:cs="Times New Roman"/>
                <w:sz w:val="20"/>
                <w:szCs w:val="20"/>
              </w:rPr>
            </w:pPr>
          </w:p>
          <w:p w14:paraId="63C600C6" w14:textId="77777777" w:rsidR="0067582E" w:rsidRPr="00A16BF3" w:rsidRDefault="0067582E" w:rsidP="000E2D46">
            <w:pPr>
              <w:spacing w:line="360" w:lineRule="auto"/>
              <w:jc w:val="center"/>
              <w:rPr>
                <w:rFonts w:ascii="Times New Roman" w:hAnsi="Times New Roman" w:cs="Times New Roman"/>
                <w:sz w:val="20"/>
                <w:szCs w:val="20"/>
              </w:rPr>
            </w:pPr>
          </w:p>
          <w:p w14:paraId="3E18871E"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Vidējais gaidīšanas laiks(dienas) uz valsts apmaksāto pakalpojumu</w:t>
            </w:r>
          </w:p>
        </w:tc>
        <w:tc>
          <w:tcPr>
            <w:tcW w:w="2307" w:type="pct"/>
            <w:vAlign w:val="bottom"/>
          </w:tcPr>
          <w:p w14:paraId="4E0465E9"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Endokrinologs</w:t>
            </w:r>
          </w:p>
        </w:tc>
        <w:tc>
          <w:tcPr>
            <w:tcW w:w="595" w:type="pct"/>
            <w:vAlign w:val="center"/>
          </w:tcPr>
          <w:p w14:paraId="19C67796"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27</w:t>
            </w:r>
          </w:p>
        </w:tc>
        <w:tc>
          <w:tcPr>
            <w:tcW w:w="487" w:type="pct"/>
          </w:tcPr>
          <w:p w14:paraId="6DE66418"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25</w:t>
            </w:r>
          </w:p>
        </w:tc>
        <w:tc>
          <w:tcPr>
            <w:tcW w:w="845" w:type="pct"/>
          </w:tcPr>
          <w:p w14:paraId="3A9AEC2C"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59</w:t>
            </w:r>
          </w:p>
        </w:tc>
      </w:tr>
      <w:tr w:rsidR="0067582E" w:rsidRPr="00A16BF3" w14:paraId="463A6FB0" w14:textId="77777777" w:rsidTr="005F4B51">
        <w:tc>
          <w:tcPr>
            <w:tcW w:w="766" w:type="pct"/>
            <w:vMerge/>
          </w:tcPr>
          <w:p w14:paraId="4BB98B22"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281B8413"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Ginekologs</w:t>
            </w:r>
          </w:p>
        </w:tc>
        <w:tc>
          <w:tcPr>
            <w:tcW w:w="595" w:type="pct"/>
            <w:vAlign w:val="center"/>
          </w:tcPr>
          <w:p w14:paraId="42A695E2"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11</w:t>
            </w:r>
          </w:p>
        </w:tc>
        <w:tc>
          <w:tcPr>
            <w:tcW w:w="487" w:type="pct"/>
          </w:tcPr>
          <w:p w14:paraId="0BD0D5CC"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10</w:t>
            </w:r>
          </w:p>
        </w:tc>
        <w:tc>
          <w:tcPr>
            <w:tcW w:w="845" w:type="pct"/>
          </w:tcPr>
          <w:p w14:paraId="65A6ACA7"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7</w:t>
            </w:r>
          </w:p>
        </w:tc>
      </w:tr>
      <w:tr w:rsidR="0067582E" w:rsidRPr="00A16BF3" w14:paraId="2EFCB85B" w14:textId="77777777" w:rsidTr="005F4B51">
        <w:tc>
          <w:tcPr>
            <w:tcW w:w="766" w:type="pct"/>
            <w:vMerge/>
          </w:tcPr>
          <w:p w14:paraId="4ADB97CA"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655B0CF4"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Kardiologs</w:t>
            </w:r>
          </w:p>
        </w:tc>
        <w:tc>
          <w:tcPr>
            <w:tcW w:w="595" w:type="pct"/>
            <w:vAlign w:val="center"/>
          </w:tcPr>
          <w:p w14:paraId="710CCE0B"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11</w:t>
            </w:r>
          </w:p>
        </w:tc>
        <w:tc>
          <w:tcPr>
            <w:tcW w:w="487" w:type="pct"/>
          </w:tcPr>
          <w:p w14:paraId="1349814C"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10</w:t>
            </w:r>
          </w:p>
        </w:tc>
        <w:tc>
          <w:tcPr>
            <w:tcW w:w="845" w:type="pct"/>
          </w:tcPr>
          <w:p w14:paraId="05F1F97C"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22</w:t>
            </w:r>
          </w:p>
        </w:tc>
      </w:tr>
      <w:tr w:rsidR="0067582E" w:rsidRPr="00A16BF3" w14:paraId="2E849FAD" w14:textId="77777777" w:rsidTr="005F4B51">
        <w:tc>
          <w:tcPr>
            <w:tcW w:w="766" w:type="pct"/>
            <w:vMerge/>
          </w:tcPr>
          <w:p w14:paraId="30393847"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1E30BEA2"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Urologs</w:t>
            </w:r>
          </w:p>
        </w:tc>
        <w:tc>
          <w:tcPr>
            <w:tcW w:w="595" w:type="pct"/>
            <w:vAlign w:val="center"/>
          </w:tcPr>
          <w:p w14:paraId="4F0E013A"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31</w:t>
            </w:r>
          </w:p>
        </w:tc>
        <w:tc>
          <w:tcPr>
            <w:tcW w:w="487" w:type="pct"/>
          </w:tcPr>
          <w:p w14:paraId="6751E6A2"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30</w:t>
            </w:r>
          </w:p>
        </w:tc>
        <w:tc>
          <w:tcPr>
            <w:tcW w:w="845" w:type="pct"/>
          </w:tcPr>
          <w:p w14:paraId="4C09C984"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32</w:t>
            </w:r>
          </w:p>
        </w:tc>
      </w:tr>
      <w:tr w:rsidR="0067582E" w:rsidRPr="00A16BF3" w14:paraId="3D0FF366" w14:textId="77777777" w:rsidTr="005F4B51">
        <w:tc>
          <w:tcPr>
            <w:tcW w:w="766" w:type="pct"/>
            <w:vMerge/>
          </w:tcPr>
          <w:p w14:paraId="30EE77B5"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477315A6"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Nefrologs</w:t>
            </w:r>
          </w:p>
        </w:tc>
        <w:tc>
          <w:tcPr>
            <w:tcW w:w="595" w:type="pct"/>
            <w:vAlign w:val="center"/>
          </w:tcPr>
          <w:p w14:paraId="2512524E"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112</w:t>
            </w:r>
          </w:p>
        </w:tc>
        <w:tc>
          <w:tcPr>
            <w:tcW w:w="487" w:type="pct"/>
          </w:tcPr>
          <w:p w14:paraId="4AEC3B60"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100</w:t>
            </w:r>
          </w:p>
        </w:tc>
        <w:tc>
          <w:tcPr>
            <w:tcW w:w="845" w:type="pct"/>
          </w:tcPr>
          <w:p w14:paraId="63AE9ED3"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150</w:t>
            </w:r>
          </w:p>
        </w:tc>
      </w:tr>
      <w:tr w:rsidR="0067582E" w:rsidRPr="00A16BF3" w14:paraId="2A398DB8" w14:textId="77777777" w:rsidTr="005F4B51">
        <w:tc>
          <w:tcPr>
            <w:tcW w:w="766" w:type="pct"/>
            <w:vMerge/>
          </w:tcPr>
          <w:p w14:paraId="27F9555D"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234CAB4D"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Datortomogrāfija</w:t>
            </w:r>
          </w:p>
        </w:tc>
        <w:tc>
          <w:tcPr>
            <w:tcW w:w="595" w:type="pct"/>
            <w:vAlign w:val="center"/>
          </w:tcPr>
          <w:p w14:paraId="4F546CA2"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30</w:t>
            </w:r>
          </w:p>
        </w:tc>
        <w:tc>
          <w:tcPr>
            <w:tcW w:w="487" w:type="pct"/>
          </w:tcPr>
          <w:p w14:paraId="74D85D83"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28</w:t>
            </w:r>
          </w:p>
        </w:tc>
        <w:tc>
          <w:tcPr>
            <w:tcW w:w="845" w:type="pct"/>
          </w:tcPr>
          <w:p w14:paraId="2B88628D"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31</w:t>
            </w:r>
          </w:p>
        </w:tc>
      </w:tr>
      <w:tr w:rsidR="0067582E" w:rsidRPr="00A16BF3" w14:paraId="2B40179E" w14:textId="77777777" w:rsidTr="005F4B51">
        <w:tc>
          <w:tcPr>
            <w:tcW w:w="766" w:type="pct"/>
            <w:vMerge/>
          </w:tcPr>
          <w:p w14:paraId="7CFEA528"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5012DD27"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Ehokardiogrāfija</w:t>
            </w:r>
          </w:p>
        </w:tc>
        <w:tc>
          <w:tcPr>
            <w:tcW w:w="595" w:type="pct"/>
            <w:vAlign w:val="center"/>
          </w:tcPr>
          <w:p w14:paraId="7EBAF11D"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121</w:t>
            </w:r>
          </w:p>
        </w:tc>
        <w:tc>
          <w:tcPr>
            <w:tcW w:w="487" w:type="pct"/>
          </w:tcPr>
          <w:p w14:paraId="64C0DE78"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100</w:t>
            </w:r>
          </w:p>
        </w:tc>
        <w:tc>
          <w:tcPr>
            <w:tcW w:w="845" w:type="pct"/>
          </w:tcPr>
          <w:p w14:paraId="56238207"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102</w:t>
            </w:r>
          </w:p>
        </w:tc>
      </w:tr>
      <w:tr w:rsidR="0067582E" w:rsidRPr="00A16BF3" w14:paraId="29D3FFBF" w14:textId="77777777" w:rsidTr="005F4B51">
        <w:tc>
          <w:tcPr>
            <w:tcW w:w="766" w:type="pct"/>
            <w:vMerge/>
          </w:tcPr>
          <w:p w14:paraId="54D6D067"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5005EE9C"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Holteramonitorēšana</w:t>
            </w:r>
          </w:p>
        </w:tc>
        <w:tc>
          <w:tcPr>
            <w:tcW w:w="595" w:type="pct"/>
            <w:vAlign w:val="center"/>
          </w:tcPr>
          <w:p w14:paraId="0E9FC5CB"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110</w:t>
            </w:r>
          </w:p>
        </w:tc>
        <w:tc>
          <w:tcPr>
            <w:tcW w:w="487" w:type="pct"/>
          </w:tcPr>
          <w:p w14:paraId="2273BE89"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100</w:t>
            </w:r>
          </w:p>
        </w:tc>
        <w:tc>
          <w:tcPr>
            <w:tcW w:w="845" w:type="pct"/>
          </w:tcPr>
          <w:p w14:paraId="4D6153AD"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81</w:t>
            </w:r>
          </w:p>
        </w:tc>
      </w:tr>
      <w:tr w:rsidR="0067582E" w:rsidRPr="00A16BF3" w14:paraId="0D9D23A9" w14:textId="77777777" w:rsidTr="005F4B51">
        <w:tc>
          <w:tcPr>
            <w:tcW w:w="766" w:type="pct"/>
            <w:vMerge/>
          </w:tcPr>
          <w:p w14:paraId="45070B71"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3A4ECBB6"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Veloergometrija</w:t>
            </w:r>
          </w:p>
        </w:tc>
        <w:tc>
          <w:tcPr>
            <w:tcW w:w="595" w:type="pct"/>
            <w:vAlign w:val="center"/>
          </w:tcPr>
          <w:p w14:paraId="7BE9E0E7"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98</w:t>
            </w:r>
          </w:p>
        </w:tc>
        <w:tc>
          <w:tcPr>
            <w:tcW w:w="487" w:type="pct"/>
          </w:tcPr>
          <w:p w14:paraId="5665EB50"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95</w:t>
            </w:r>
          </w:p>
        </w:tc>
        <w:tc>
          <w:tcPr>
            <w:tcW w:w="845" w:type="pct"/>
          </w:tcPr>
          <w:p w14:paraId="1F013D66"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81</w:t>
            </w:r>
          </w:p>
        </w:tc>
      </w:tr>
      <w:tr w:rsidR="0067582E" w:rsidRPr="00A16BF3" w14:paraId="7791D88E" w14:textId="77777777" w:rsidTr="005F4B51">
        <w:tc>
          <w:tcPr>
            <w:tcW w:w="766" w:type="pct"/>
            <w:vMerge/>
          </w:tcPr>
          <w:p w14:paraId="606DC74F"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6E841563"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Fibrogastroskopija</w:t>
            </w:r>
          </w:p>
        </w:tc>
        <w:tc>
          <w:tcPr>
            <w:tcW w:w="595" w:type="pct"/>
            <w:vAlign w:val="center"/>
          </w:tcPr>
          <w:p w14:paraId="5C356230"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21</w:t>
            </w:r>
          </w:p>
        </w:tc>
        <w:tc>
          <w:tcPr>
            <w:tcW w:w="487" w:type="pct"/>
          </w:tcPr>
          <w:p w14:paraId="0704A295"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20</w:t>
            </w:r>
          </w:p>
        </w:tc>
        <w:tc>
          <w:tcPr>
            <w:tcW w:w="845" w:type="pct"/>
          </w:tcPr>
          <w:p w14:paraId="57DDEB1F"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12</w:t>
            </w:r>
          </w:p>
        </w:tc>
      </w:tr>
      <w:tr w:rsidR="0067582E" w:rsidRPr="00A16BF3" w14:paraId="650C2D39" w14:textId="77777777" w:rsidTr="005F4B51">
        <w:tc>
          <w:tcPr>
            <w:tcW w:w="766" w:type="pct"/>
            <w:vMerge/>
          </w:tcPr>
          <w:p w14:paraId="312DA6B0"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3F608561"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Osteodensitometrija</w:t>
            </w:r>
          </w:p>
        </w:tc>
        <w:tc>
          <w:tcPr>
            <w:tcW w:w="595" w:type="pct"/>
            <w:vAlign w:val="center"/>
          </w:tcPr>
          <w:p w14:paraId="74E9B31A"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33</w:t>
            </w:r>
          </w:p>
        </w:tc>
        <w:tc>
          <w:tcPr>
            <w:tcW w:w="487" w:type="pct"/>
          </w:tcPr>
          <w:p w14:paraId="4488D69E"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30</w:t>
            </w:r>
          </w:p>
        </w:tc>
        <w:tc>
          <w:tcPr>
            <w:tcW w:w="845" w:type="pct"/>
          </w:tcPr>
          <w:p w14:paraId="509E5413"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37</w:t>
            </w:r>
          </w:p>
        </w:tc>
      </w:tr>
      <w:tr w:rsidR="0067582E" w:rsidRPr="00A16BF3" w14:paraId="3FE96D2F" w14:textId="77777777" w:rsidTr="005F4B51">
        <w:tc>
          <w:tcPr>
            <w:tcW w:w="766" w:type="pct"/>
            <w:vMerge/>
          </w:tcPr>
          <w:p w14:paraId="1F2FD91F"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09A945F1"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Astmas kabinets</w:t>
            </w:r>
          </w:p>
        </w:tc>
        <w:tc>
          <w:tcPr>
            <w:tcW w:w="595" w:type="pct"/>
            <w:vAlign w:val="center"/>
          </w:tcPr>
          <w:p w14:paraId="3DECF38F"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7</w:t>
            </w:r>
          </w:p>
        </w:tc>
        <w:tc>
          <w:tcPr>
            <w:tcW w:w="487" w:type="pct"/>
          </w:tcPr>
          <w:p w14:paraId="464899F4"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7</w:t>
            </w:r>
          </w:p>
        </w:tc>
        <w:tc>
          <w:tcPr>
            <w:tcW w:w="845" w:type="pct"/>
          </w:tcPr>
          <w:p w14:paraId="6A46F9C8"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5</w:t>
            </w:r>
          </w:p>
        </w:tc>
      </w:tr>
      <w:tr w:rsidR="0067582E" w:rsidRPr="00A16BF3" w14:paraId="530D68D1" w14:textId="77777777" w:rsidTr="005F4B51">
        <w:tc>
          <w:tcPr>
            <w:tcW w:w="766" w:type="pct"/>
            <w:vMerge/>
          </w:tcPr>
          <w:p w14:paraId="790E83C1"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3CE18198"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Otolaringoloģija bērniem dienas stacionārā</w:t>
            </w:r>
          </w:p>
        </w:tc>
        <w:tc>
          <w:tcPr>
            <w:tcW w:w="595" w:type="pct"/>
            <w:vAlign w:val="center"/>
          </w:tcPr>
          <w:p w14:paraId="46F2F0FC"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26</w:t>
            </w:r>
          </w:p>
        </w:tc>
        <w:tc>
          <w:tcPr>
            <w:tcW w:w="487" w:type="pct"/>
          </w:tcPr>
          <w:p w14:paraId="2272C158"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26</w:t>
            </w:r>
          </w:p>
        </w:tc>
        <w:tc>
          <w:tcPr>
            <w:tcW w:w="845" w:type="pct"/>
          </w:tcPr>
          <w:p w14:paraId="0EC2679B"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25</w:t>
            </w:r>
          </w:p>
        </w:tc>
      </w:tr>
      <w:tr w:rsidR="0067582E" w:rsidRPr="00A16BF3" w14:paraId="38C05E73" w14:textId="77777777" w:rsidTr="005F4B51">
        <w:tc>
          <w:tcPr>
            <w:tcW w:w="766" w:type="pct"/>
            <w:vMerge/>
          </w:tcPr>
          <w:p w14:paraId="447B0D04"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3FAF2C4B"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Otolaringoloģija pieaugušajiem dienas stacionārā</w:t>
            </w:r>
          </w:p>
        </w:tc>
        <w:tc>
          <w:tcPr>
            <w:tcW w:w="595" w:type="pct"/>
            <w:vAlign w:val="center"/>
          </w:tcPr>
          <w:p w14:paraId="2D06B2C3"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70</w:t>
            </w:r>
          </w:p>
        </w:tc>
        <w:tc>
          <w:tcPr>
            <w:tcW w:w="487" w:type="pct"/>
          </w:tcPr>
          <w:p w14:paraId="5009A4ED"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68</w:t>
            </w:r>
          </w:p>
        </w:tc>
        <w:tc>
          <w:tcPr>
            <w:tcW w:w="845" w:type="pct"/>
          </w:tcPr>
          <w:p w14:paraId="7EE52B70"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69</w:t>
            </w:r>
          </w:p>
        </w:tc>
      </w:tr>
      <w:tr w:rsidR="0067582E" w:rsidRPr="00A16BF3" w14:paraId="68AA1D07" w14:textId="77777777" w:rsidTr="005F4B51">
        <w:tc>
          <w:tcPr>
            <w:tcW w:w="766" w:type="pct"/>
            <w:vMerge/>
          </w:tcPr>
          <w:p w14:paraId="46F437DF"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2210348A"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Audiologopēds</w:t>
            </w:r>
          </w:p>
        </w:tc>
        <w:tc>
          <w:tcPr>
            <w:tcW w:w="595" w:type="pct"/>
            <w:vAlign w:val="center"/>
          </w:tcPr>
          <w:p w14:paraId="62BC5365"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30</w:t>
            </w:r>
          </w:p>
        </w:tc>
        <w:tc>
          <w:tcPr>
            <w:tcW w:w="487" w:type="pct"/>
          </w:tcPr>
          <w:p w14:paraId="6DD82B8C"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28</w:t>
            </w:r>
          </w:p>
        </w:tc>
        <w:tc>
          <w:tcPr>
            <w:tcW w:w="845" w:type="pct"/>
          </w:tcPr>
          <w:p w14:paraId="190B7C3E"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36</w:t>
            </w:r>
          </w:p>
        </w:tc>
      </w:tr>
      <w:tr w:rsidR="0067582E" w:rsidRPr="00A16BF3" w14:paraId="39B17D42" w14:textId="77777777" w:rsidTr="005F4B51">
        <w:tc>
          <w:tcPr>
            <w:tcW w:w="766" w:type="pct"/>
            <w:vMerge/>
          </w:tcPr>
          <w:p w14:paraId="612892D2"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6C95771A"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Vispārējā masāža bērniem</w:t>
            </w:r>
          </w:p>
        </w:tc>
        <w:tc>
          <w:tcPr>
            <w:tcW w:w="595" w:type="pct"/>
            <w:vAlign w:val="center"/>
          </w:tcPr>
          <w:p w14:paraId="3D07011A"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15</w:t>
            </w:r>
          </w:p>
        </w:tc>
        <w:tc>
          <w:tcPr>
            <w:tcW w:w="487" w:type="pct"/>
          </w:tcPr>
          <w:p w14:paraId="50C22892"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15</w:t>
            </w:r>
          </w:p>
        </w:tc>
        <w:tc>
          <w:tcPr>
            <w:tcW w:w="845" w:type="pct"/>
          </w:tcPr>
          <w:p w14:paraId="439B58FB"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14</w:t>
            </w:r>
          </w:p>
        </w:tc>
      </w:tr>
      <w:tr w:rsidR="0067582E" w:rsidRPr="00A16BF3" w14:paraId="246D311D" w14:textId="77777777" w:rsidTr="005F4B51">
        <w:tc>
          <w:tcPr>
            <w:tcW w:w="766" w:type="pct"/>
            <w:vMerge/>
          </w:tcPr>
          <w:p w14:paraId="691F3247" w14:textId="77777777" w:rsidR="0067582E" w:rsidRPr="00A16BF3" w:rsidRDefault="0067582E" w:rsidP="000E2D46">
            <w:pPr>
              <w:spacing w:line="360" w:lineRule="auto"/>
              <w:rPr>
                <w:rFonts w:ascii="Times New Roman" w:hAnsi="Times New Roman" w:cs="Times New Roman"/>
                <w:b/>
                <w:sz w:val="20"/>
                <w:szCs w:val="20"/>
              </w:rPr>
            </w:pPr>
          </w:p>
        </w:tc>
        <w:tc>
          <w:tcPr>
            <w:tcW w:w="2307" w:type="pct"/>
            <w:vAlign w:val="bottom"/>
          </w:tcPr>
          <w:p w14:paraId="6CD8BDCF"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Fizioterapeits</w:t>
            </w:r>
          </w:p>
        </w:tc>
        <w:tc>
          <w:tcPr>
            <w:tcW w:w="595" w:type="pct"/>
            <w:vAlign w:val="center"/>
          </w:tcPr>
          <w:p w14:paraId="51F69D3E"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11</w:t>
            </w:r>
          </w:p>
        </w:tc>
        <w:tc>
          <w:tcPr>
            <w:tcW w:w="487" w:type="pct"/>
          </w:tcPr>
          <w:p w14:paraId="7CFB34DA"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10</w:t>
            </w:r>
          </w:p>
        </w:tc>
        <w:tc>
          <w:tcPr>
            <w:tcW w:w="845" w:type="pct"/>
          </w:tcPr>
          <w:p w14:paraId="4C278D86" w14:textId="77777777" w:rsidR="0067582E" w:rsidRPr="00A16BF3" w:rsidRDefault="0067582E" w:rsidP="000E2D46">
            <w:pPr>
              <w:spacing w:line="360" w:lineRule="auto"/>
              <w:jc w:val="center"/>
              <w:rPr>
                <w:rFonts w:ascii="Times New Roman" w:hAnsi="Times New Roman" w:cs="Times New Roman"/>
                <w:color w:val="000000" w:themeColor="text1"/>
                <w:sz w:val="20"/>
                <w:szCs w:val="20"/>
              </w:rPr>
            </w:pPr>
            <w:r w:rsidRPr="00A16BF3">
              <w:rPr>
                <w:rFonts w:ascii="Times New Roman" w:hAnsi="Times New Roman" w:cs="Times New Roman"/>
                <w:color w:val="000000" w:themeColor="text1"/>
                <w:sz w:val="20"/>
                <w:szCs w:val="20"/>
              </w:rPr>
              <w:t>10</w:t>
            </w:r>
          </w:p>
        </w:tc>
      </w:tr>
      <w:tr w:rsidR="005F4B51" w:rsidRPr="00A16BF3" w14:paraId="79110800" w14:textId="77777777" w:rsidTr="005F4B51">
        <w:tc>
          <w:tcPr>
            <w:tcW w:w="766" w:type="pct"/>
            <w:vMerge/>
          </w:tcPr>
          <w:p w14:paraId="0C01DA70" w14:textId="77777777" w:rsidR="005F4B51" w:rsidRPr="00A16BF3" w:rsidRDefault="005F4B51" w:rsidP="000E2D46">
            <w:pPr>
              <w:spacing w:line="360" w:lineRule="auto"/>
              <w:rPr>
                <w:rFonts w:ascii="Times New Roman" w:hAnsi="Times New Roman" w:cs="Times New Roman"/>
                <w:b/>
                <w:sz w:val="20"/>
                <w:szCs w:val="20"/>
              </w:rPr>
            </w:pPr>
          </w:p>
        </w:tc>
        <w:tc>
          <w:tcPr>
            <w:tcW w:w="4234" w:type="pct"/>
            <w:gridSpan w:val="4"/>
            <w:vAlign w:val="bottom"/>
          </w:tcPr>
          <w:p w14:paraId="13F6AB29" w14:textId="77777777" w:rsidR="005F4B51" w:rsidRPr="00A16BF3" w:rsidRDefault="005F4B51" w:rsidP="000E2D46">
            <w:pPr>
              <w:spacing w:line="360" w:lineRule="auto"/>
              <w:jc w:val="center"/>
              <w:rPr>
                <w:rFonts w:ascii="Times New Roman" w:hAnsi="Times New Roman" w:cs="Times New Roman"/>
                <w:sz w:val="20"/>
                <w:szCs w:val="20"/>
              </w:rPr>
            </w:pPr>
          </w:p>
        </w:tc>
      </w:tr>
    </w:tbl>
    <w:tbl>
      <w:tblPr>
        <w:tblStyle w:val="TableGrid"/>
        <w:tblW w:w="5113" w:type="pct"/>
        <w:tblInd w:w="-5" w:type="dxa"/>
        <w:tblLook w:val="04A0" w:firstRow="1" w:lastRow="0" w:firstColumn="1" w:lastColumn="0" w:noHBand="0" w:noVBand="1"/>
      </w:tblPr>
      <w:tblGrid>
        <w:gridCol w:w="4957"/>
        <w:gridCol w:w="141"/>
        <w:gridCol w:w="734"/>
        <w:gridCol w:w="23"/>
        <w:gridCol w:w="1141"/>
        <w:gridCol w:w="36"/>
        <w:gridCol w:w="2523"/>
      </w:tblGrid>
      <w:tr w:rsidR="0067582E" w:rsidRPr="00A16BF3" w14:paraId="283ED579" w14:textId="77777777" w:rsidTr="005F4B51">
        <w:tc>
          <w:tcPr>
            <w:tcW w:w="5000" w:type="pct"/>
            <w:gridSpan w:val="7"/>
            <w:tcBorders>
              <w:bottom w:val="single" w:sz="4" w:space="0" w:color="auto"/>
            </w:tcBorders>
          </w:tcPr>
          <w:p w14:paraId="76B8BD30" w14:textId="1351F632" w:rsidR="0067582E" w:rsidRPr="00A16BF3" w:rsidRDefault="00D04DA5" w:rsidP="000E2D46">
            <w:pPr>
              <w:spacing w:line="360" w:lineRule="auto"/>
              <w:jc w:val="center"/>
              <w:rPr>
                <w:rFonts w:ascii="Times New Roman" w:hAnsi="Times New Roman" w:cs="Times New Roman"/>
                <w:b/>
                <w:sz w:val="20"/>
                <w:szCs w:val="20"/>
              </w:rPr>
            </w:pPr>
            <w:bookmarkStart w:id="30" w:name="_Hlk66876884"/>
            <w:bookmarkEnd w:id="28"/>
            <w:r w:rsidRPr="00A16BF3">
              <w:rPr>
                <w:rFonts w:ascii="Times New Roman" w:eastAsia="Calibri" w:hAnsi="Times New Roman" w:cs="Times New Roman"/>
                <w:color w:val="000000"/>
                <w:sz w:val="24"/>
                <w:szCs w:val="24"/>
                <w:lang w:eastAsia="zh-CN"/>
              </w:rPr>
              <w:t xml:space="preserve">Pakalpojumu gaidīšanas laiks ir palielinājies profilos, kuros pakalpojumus sniedz viens-divi speciālisti, kuru aizvietošana </w:t>
            </w:r>
            <w:r w:rsidR="006A1F45" w:rsidRPr="00A16BF3">
              <w:rPr>
                <w:rFonts w:ascii="Times New Roman" w:eastAsia="Calibri" w:hAnsi="Times New Roman" w:cs="Times New Roman"/>
                <w:color w:val="000000"/>
                <w:sz w:val="24"/>
                <w:szCs w:val="24"/>
                <w:lang w:eastAsia="zh-CN"/>
              </w:rPr>
              <w:t>prombūtnes</w:t>
            </w:r>
            <w:r w:rsidRPr="00A16BF3">
              <w:rPr>
                <w:rFonts w:ascii="Times New Roman" w:eastAsia="Calibri" w:hAnsi="Times New Roman" w:cs="Times New Roman"/>
                <w:color w:val="000000"/>
                <w:sz w:val="24"/>
                <w:szCs w:val="24"/>
                <w:lang w:eastAsia="zh-CN"/>
              </w:rPr>
              <w:t xml:space="preserve"> laikā nebija iespējama</w:t>
            </w:r>
            <w:r w:rsidR="006A1F45" w:rsidRPr="00A16BF3">
              <w:rPr>
                <w:rFonts w:ascii="Times New Roman" w:eastAsia="Calibri" w:hAnsi="Times New Roman" w:cs="Times New Roman"/>
                <w:color w:val="000000"/>
                <w:sz w:val="24"/>
                <w:szCs w:val="24"/>
                <w:lang w:eastAsia="zh-CN"/>
              </w:rPr>
              <w:t xml:space="preserve"> vai pakalpojuma sniegšana tika apturēta ar Veselības ministrijas rīkojumu</w:t>
            </w:r>
            <w:r w:rsidRPr="00A16BF3">
              <w:rPr>
                <w:rFonts w:ascii="Times New Roman" w:eastAsia="Calibri" w:hAnsi="Times New Roman" w:cs="Times New Roman"/>
                <w:color w:val="000000"/>
                <w:sz w:val="24"/>
                <w:szCs w:val="24"/>
                <w:lang w:eastAsia="zh-CN"/>
              </w:rPr>
              <w:t xml:space="preserve">.  </w:t>
            </w:r>
          </w:p>
        </w:tc>
      </w:tr>
      <w:tr w:rsidR="00A16BF3" w:rsidRPr="00A16BF3" w14:paraId="1EA10A8A" w14:textId="77777777" w:rsidTr="005F4B51">
        <w:trPr>
          <w:trHeight w:val="649"/>
        </w:trPr>
        <w:tc>
          <w:tcPr>
            <w:tcW w:w="5000" w:type="pct"/>
            <w:gridSpan w:val="7"/>
            <w:tcBorders>
              <w:top w:val="single" w:sz="4" w:space="0" w:color="auto"/>
              <w:left w:val="nil"/>
              <w:bottom w:val="single" w:sz="4" w:space="0" w:color="auto"/>
              <w:right w:val="nil"/>
            </w:tcBorders>
          </w:tcPr>
          <w:p w14:paraId="4DD92659" w14:textId="77777777" w:rsidR="00A16BF3" w:rsidRPr="00A16BF3" w:rsidRDefault="00A16BF3" w:rsidP="005F4B51">
            <w:pPr>
              <w:spacing w:line="360" w:lineRule="auto"/>
              <w:rPr>
                <w:rFonts w:ascii="Times New Roman" w:hAnsi="Times New Roman" w:cs="Times New Roman"/>
                <w:b/>
                <w:sz w:val="24"/>
                <w:szCs w:val="24"/>
              </w:rPr>
            </w:pPr>
          </w:p>
        </w:tc>
      </w:tr>
      <w:tr w:rsidR="0067582E" w:rsidRPr="00A16BF3" w14:paraId="720080EC" w14:textId="77777777" w:rsidTr="005F4B51">
        <w:trPr>
          <w:trHeight w:val="649"/>
        </w:trPr>
        <w:tc>
          <w:tcPr>
            <w:tcW w:w="5000" w:type="pct"/>
            <w:gridSpan w:val="7"/>
            <w:tcBorders>
              <w:top w:val="single" w:sz="4" w:space="0" w:color="auto"/>
            </w:tcBorders>
          </w:tcPr>
          <w:p w14:paraId="0D904054" w14:textId="77777777" w:rsidR="0067582E" w:rsidRPr="00A16BF3" w:rsidRDefault="0067582E" w:rsidP="005F4B51">
            <w:pPr>
              <w:spacing w:line="360" w:lineRule="auto"/>
              <w:rPr>
                <w:rFonts w:ascii="Times New Roman" w:hAnsi="Times New Roman" w:cs="Times New Roman"/>
                <w:b/>
                <w:sz w:val="24"/>
                <w:szCs w:val="24"/>
              </w:rPr>
            </w:pPr>
            <w:r w:rsidRPr="00A16BF3">
              <w:rPr>
                <w:rFonts w:ascii="Times New Roman" w:hAnsi="Times New Roman" w:cs="Times New Roman"/>
                <w:b/>
                <w:sz w:val="24"/>
                <w:szCs w:val="24"/>
              </w:rPr>
              <w:t>Darbības virziens – nodrošināt efektīvu veselības aprūpes pakalpojumu plānošanu un sniegšanu</w:t>
            </w:r>
          </w:p>
        </w:tc>
      </w:tr>
      <w:tr w:rsidR="0067582E" w:rsidRPr="00A16BF3" w14:paraId="60CCEDAD" w14:textId="77777777" w:rsidTr="005F4B51">
        <w:tc>
          <w:tcPr>
            <w:tcW w:w="2594" w:type="pct"/>
          </w:tcPr>
          <w:p w14:paraId="185ED699" w14:textId="77777777" w:rsidR="0067582E" w:rsidRPr="00A16BF3" w:rsidRDefault="0067582E" w:rsidP="000E2D46">
            <w:pPr>
              <w:spacing w:line="360" w:lineRule="auto"/>
              <w:rPr>
                <w:rFonts w:ascii="Times New Roman" w:hAnsi="Times New Roman" w:cs="Times New Roman"/>
                <w:b/>
                <w:sz w:val="20"/>
                <w:szCs w:val="20"/>
              </w:rPr>
            </w:pPr>
            <w:r w:rsidRPr="00A16BF3">
              <w:rPr>
                <w:rFonts w:ascii="Times New Roman" w:hAnsi="Times New Roman" w:cs="Times New Roman"/>
                <w:b/>
                <w:sz w:val="20"/>
                <w:szCs w:val="20"/>
              </w:rPr>
              <w:t>Rezultatīvais rādītājs</w:t>
            </w:r>
          </w:p>
        </w:tc>
        <w:tc>
          <w:tcPr>
            <w:tcW w:w="470" w:type="pct"/>
            <w:gridSpan w:val="3"/>
          </w:tcPr>
          <w:p w14:paraId="095B5E9D"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2019</w:t>
            </w:r>
          </w:p>
        </w:tc>
        <w:tc>
          <w:tcPr>
            <w:tcW w:w="616" w:type="pct"/>
            <w:gridSpan w:val="2"/>
          </w:tcPr>
          <w:p w14:paraId="114954E6"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2020.plāns</w:t>
            </w:r>
          </w:p>
        </w:tc>
        <w:tc>
          <w:tcPr>
            <w:tcW w:w="1320" w:type="pct"/>
          </w:tcPr>
          <w:p w14:paraId="454AC74F"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2020.fakts</w:t>
            </w:r>
          </w:p>
        </w:tc>
      </w:tr>
      <w:tr w:rsidR="0067582E" w:rsidRPr="00A16BF3" w14:paraId="33BFD212" w14:textId="77777777" w:rsidTr="005F4B51">
        <w:tc>
          <w:tcPr>
            <w:tcW w:w="2594" w:type="pct"/>
          </w:tcPr>
          <w:p w14:paraId="30C6E6BB" w14:textId="77777777" w:rsidR="0067582E" w:rsidRPr="00A16BF3" w:rsidRDefault="0067582E" w:rsidP="000E2D46">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Vidējā gultu noslodze %</w:t>
            </w:r>
          </w:p>
        </w:tc>
        <w:tc>
          <w:tcPr>
            <w:tcW w:w="470" w:type="pct"/>
            <w:gridSpan w:val="3"/>
          </w:tcPr>
          <w:p w14:paraId="598E6874"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79,21</w:t>
            </w:r>
          </w:p>
        </w:tc>
        <w:tc>
          <w:tcPr>
            <w:tcW w:w="616" w:type="pct"/>
            <w:gridSpan w:val="2"/>
          </w:tcPr>
          <w:p w14:paraId="4749FFC9"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79,8</w:t>
            </w:r>
          </w:p>
        </w:tc>
        <w:tc>
          <w:tcPr>
            <w:tcW w:w="1320" w:type="pct"/>
          </w:tcPr>
          <w:p w14:paraId="7CE68D18"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70,56</w:t>
            </w:r>
          </w:p>
        </w:tc>
      </w:tr>
      <w:tr w:rsidR="0067582E" w:rsidRPr="00A16BF3" w14:paraId="7B96BE7D" w14:textId="77777777" w:rsidTr="005F4B51">
        <w:tc>
          <w:tcPr>
            <w:tcW w:w="2594" w:type="pct"/>
          </w:tcPr>
          <w:p w14:paraId="60EADC39" w14:textId="77777777" w:rsidR="0067582E" w:rsidRPr="00A16BF3" w:rsidRDefault="0067582E" w:rsidP="000E2D46">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Iekārtu, tehnoloģiju noslodze</w:t>
            </w:r>
          </w:p>
          <w:p w14:paraId="2D0F4ED3" w14:textId="77777777" w:rsidR="0067582E" w:rsidRPr="00A16BF3" w:rsidRDefault="0067582E" w:rsidP="000E2D46">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 no max slodzes)</w:t>
            </w:r>
          </w:p>
          <w:p w14:paraId="3F4FBF82" w14:textId="77777777" w:rsidR="0067582E" w:rsidRPr="00A16BF3" w:rsidRDefault="0067582E" w:rsidP="000E2D46">
            <w:pPr>
              <w:spacing w:line="360" w:lineRule="auto"/>
              <w:jc w:val="both"/>
              <w:rPr>
                <w:rFonts w:ascii="Times New Roman" w:hAnsi="Times New Roman" w:cs="Times New Roman"/>
                <w:sz w:val="20"/>
                <w:szCs w:val="20"/>
              </w:rPr>
            </w:pPr>
          </w:p>
        </w:tc>
        <w:tc>
          <w:tcPr>
            <w:tcW w:w="470" w:type="pct"/>
            <w:gridSpan w:val="3"/>
          </w:tcPr>
          <w:p w14:paraId="7172A34F" w14:textId="77777777" w:rsidR="0067582E" w:rsidRPr="00A16BF3" w:rsidRDefault="0067582E" w:rsidP="000E2D46">
            <w:pPr>
              <w:spacing w:line="360" w:lineRule="auto"/>
              <w:jc w:val="center"/>
              <w:rPr>
                <w:rFonts w:ascii="Times New Roman" w:hAnsi="Times New Roman" w:cs="Times New Roman"/>
                <w:sz w:val="20"/>
                <w:szCs w:val="20"/>
              </w:rPr>
            </w:pPr>
          </w:p>
          <w:p w14:paraId="55EFF9AB"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X</w:t>
            </w:r>
          </w:p>
        </w:tc>
        <w:tc>
          <w:tcPr>
            <w:tcW w:w="616" w:type="pct"/>
            <w:gridSpan w:val="2"/>
          </w:tcPr>
          <w:p w14:paraId="724A0B94" w14:textId="77777777" w:rsidR="0067582E" w:rsidRPr="00A16BF3" w:rsidRDefault="0067582E" w:rsidP="000E2D46">
            <w:pPr>
              <w:spacing w:line="360" w:lineRule="auto"/>
              <w:jc w:val="center"/>
              <w:rPr>
                <w:rFonts w:ascii="Times New Roman" w:hAnsi="Times New Roman" w:cs="Times New Roman"/>
                <w:sz w:val="20"/>
                <w:szCs w:val="20"/>
              </w:rPr>
            </w:pPr>
          </w:p>
          <w:p w14:paraId="1DAB33A4"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60</w:t>
            </w:r>
          </w:p>
        </w:tc>
        <w:tc>
          <w:tcPr>
            <w:tcW w:w="1320" w:type="pct"/>
          </w:tcPr>
          <w:p w14:paraId="3CF0C3DD"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Tiek veikta dokumentācijas sakārtošana ar mērķi noteikt iekārtu izmantošanas max noslodzi</w:t>
            </w:r>
          </w:p>
        </w:tc>
      </w:tr>
      <w:tr w:rsidR="0067582E" w:rsidRPr="00A16BF3" w14:paraId="58F8B281" w14:textId="77777777" w:rsidTr="005F4B51">
        <w:tc>
          <w:tcPr>
            <w:tcW w:w="2594" w:type="pct"/>
          </w:tcPr>
          <w:p w14:paraId="3DF7F946" w14:textId="1DCEAD06" w:rsidR="0067582E" w:rsidRPr="00A16BF3" w:rsidRDefault="0067582E" w:rsidP="000E2D46">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Izlietoto zāļu, med.ierīču un materiālu izlietojums salīdzinot ar klīniski noteikto (antibiotiku lietošanas  samazināšanās īpatsvars)</w:t>
            </w:r>
            <w:r w:rsidR="00A16BF3">
              <w:rPr>
                <w:rFonts w:ascii="Times New Roman" w:hAnsi="Times New Roman" w:cs="Times New Roman"/>
                <w:sz w:val="20"/>
                <w:szCs w:val="20"/>
              </w:rPr>
              <w:t xml:space="preserve">, </w:t>
            </w:r>
            <w:r w:rsidRPr="00A16BF3">
              <w:rPr>
                <w:rFonts w:ascii="Times New Roman" w:hAnsi="Times New Roman" w:cs="Times New Roman"/>
                <w:sz w:val="20"/>
                <w:szCs w:val="20"/>
              </w:rPr>
              <w:t>%</w:t>
            </w:r>
          </w:p>
          <w:p w14:paraId="684E83E7" w14:textId="77777777" w:rsidR="0067582E" w:rsidRPr="00A16BF3" w:rsidRDefault="0067582E" w:rsidP="000E2D46">
            <w:pPr>
              <w:spacing w:line="360" w:lineRule="auto"/>
              <w:jc w:val="both"/>
              <w:rPr>
                <w:rFonts w:ascii="Times New Roman" w:hAnsi="Times New Roman" w:cs="Times New Roman"/>
                <w:sz w:val="20"/>
                <w:szCs w:val="20"/>
              </w:rPr>
            </w:pPr>
          </w:p>
        </w:tc>
        <w:tc>
          <w:tcPr>
            <w:tcW w:w="470" w:type="pct"/>
            <w:gridSpan w:val="3"/>
          </w:tcPr>
          <w:p w14:paraId="2727307A" w14:textId="77777777" w:rsidR="0067582E" w:rsidRPr="00A16BF3" w:rsidRDefault="0067582E" w:rsidP="000E2D46">
            <w:pPr>
              <w:spacing w:line="360" w:lineRule="auto"/>
              <w:jc w:val="center"/>
              <w:rPr>
                <w:rFonts w:ascii="Times New Roman" w:hAnsi="Times New Roman" w:cs="Times New Roman"/>
                <w:b/>
                <w:sz w:val="20"/>
                <w:szCs w:val="20"/>
              </w:rPr>
            </w:pPr>
          </w:p>
          <w:p w14:paraId="257B7FF4"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X</w:t>
            </w:r>
          </w:p>
        </w:tc>
        <w:tc>
          <w:tcPr>
            <w:tcW w:w="616" w:type="pct"/>
            <w:gridSpan w:val="2"/>
          </w:tcPr>
          <w:p w14:paraId="0DE87FFF" w14:textId="77777777" w:rsidR="0067582E" w:rsidRPr="00A16BF3" w:rsidRDefault="0067582E" w:rsidP="000E2D46">
            <w:pPr>
              <w:spacing w:line="360" w:lineRule="auto"/>
              <w:jc w:val="center"/>
              <w:rPr>
                <w:rFonts w:ascii="Times New Roman" w:hAnsi="Times New Roman" w:cs="Times New Roman"/>
                <w:sz w:val="20"/>
                <w:szCs w:val="20"/>
              </w:rPr>
            </w:pPr>
          </w:p>
          <w:p w14:paraId="2B8310A3"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-5</w:t>
            </w:r>
          </w:p>
        </w:tc>
        <w:tc>
          <w:tcPr>
            <w:tcW w:w="1320" w:type="pct"/>
          </w:tcPr>
          <w:p w14:paraId="5E21FD21" w14:textId="082E6BAD"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Tiek veikta uzskaites sakārtošana atbilstoši vadlīnijām</w:t>
            </w:r>
          </w:p>
        </w:tc>
      </w:tr>
      <w:tr w:rsidR="0067582E" w:rsidRPr="00A16BF3" w14:paraId="59F8C460" w14:textId="77777777" w:rsidTr="005F4B51">
        <w:trPr>
          <w:trHeight w:val="841"/>
        </w:trPr>
        <w:tc>
          <w:tcPr>
            <w:tcW w:w="2594" w:type="pct"/>
          </w:tcPr>
          <w:p w14:paraId="57E4DEB2" w14:textId="70426BD5" w:rsidR="0067582E" w:rsidRPr="00A16BF3" w:rsidRDefault="0067582E" w:rsidP="000E2D46">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Saimnieciskās izmaksas uz 1m</w:t>
            </w:r>
            <w:r w:rsidRPr="00A16BF3">
              <w:rPr>
                <w:rFonts w:ascii="Times New Roman" w:hAnsi="Times New Roman" w:cs="Times New Roman"/>
                <w:sz w:val="20"/>
                <w:szCs w:val="20"/>
                <w:vertAlign w:val="superscript"/>
              </w:rPr>
              <w:t xml:space="preserve">2 </w:t>
            </w:r>
            <w:r w:rsidRPr="00A16BF3">
              <w:rPr>
                <w:rFonts w:ascii="Times New Roman" w:hAnsi="Times New Roman" w:cs="Times New Roman"/>
                <w:sz w:val="20"/>
                <w:szCs w:val="20"/>
              </w:rPr>
              <w:t>/uz vienu apkalpoto klientu (vai atsevišķi veidi- ēdināšana, apkope, elektroapgāde utml.)</w:t>
            </w:r>
          </w:p>
          <w:p w14:paraId="74CCAD74" w14:textId="46ABBF3D" w:rsidR="0067582E" w:rsidRPr="00A16BF3" w:rsidRDefault="0067582E" w:rsidP="000E2D46">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EUR</w:t>
            </w:r>
          </w:p>
        </w:tc>
        <w:tc>
          <w:tcPr>
            <w:tcW w:w="470" w:type="pct"/>
            <w:gridSpan w:val="3"/>
          </w:tcPr>
          <w:p w14:paraId="6B272756"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22.05</w:t>
            </w:r>
          </w:p>
        </w:tc>
        <w:tc>
          <w:tcPr>
            <w:tcW w:w="616" w:type="pct"/>
            <w:gridSpan w:val="2"/>
          </w:tcPr>
          <w:p w14:paraId="581D0A3F"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22.50</w:t>
            </w:r>
          </w:p>
        </w:tc>
        <w:tc>
          <w:tcPr>
            <w:tcW w:w="1320" w:type="pct"/>
          </w:tcPr>
          <w:p w14:paraId="6D1F0467"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69,4</w:t>
            </w:r>
          </w:p>
        </w:tc>
      </w:tr>
      <w:tr w:rsidR="0067582E" w:rsidRPr="00A16BF3" w14:paraId="01B9BDD4" w14:textId="77777777" w:rsidTr="005F4B51">
        <w:tc>
          <w:tcPr>
            <w:tcW w:w="2594" w:type="pct"/>
          </w:tcPr>
          <w:p w14:paraId="172914F0" w14:textId="45D462F3" w:rsidR="0067582E" w:rsidRPr="00A16BF3" w:rsidRDefault="0067582E" w:rsidP="000E2D46">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Virsstundu skaits uz vienu struktūrvienībā strādājošo mēnesī vidēji</w:t>
            </w:r>
          </w:p>
        </w:tc>
        <w:tc>
          <w:tcPr>
            <w:tcW w:w="470" w:type="pct"/>
            <w:gridSpan w:val="3"/>
          </w:tcPr>
          <w:p w14:paraId="1E14EC0B"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 xml:space="preserve">18.5 </w:t>
            </w:r>
          </w:p>
        </w:tc>
        <w:tc>
          <w:tcPr>
            <w:tcW w:w="616" w:type="pct"/>
            <w:gridSpan w:val="2"/>
          </w:tcPr>
          <w:p w14:paraId="23B025F5"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17.2</w:t>
            </w:r>
          </w:p>
        </w:tc>
        <w:tc>
          <w:tcPr>
            <w:tcW w:w="1320" w:type="pct"/>
          </w:tcPr>
          <w:p w14:paraId="37ACF82E"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14,8</w:t>
            </w:r>
          </w:p>
        </w:tc>
      </w:tr>
      <w:tr w:rsidR="0067582E" w:rsidRPr="00A16BF3" w14:paraId="7451074A" w14:textId="77777777" w:rsidTr="005F4B51">
        <w:trPr>
          <w:trHeight w:val="884"/>
        </w:trPr>
        <w:tc>
          <w:tcPr>
            <w:tcW w:w="2594" w:type="pct"/>
          </w:tcPr>
          <w:p w14:paraId="11929AAB" w14:textId="62173F29" w:rsidR="0067582E" w:rsidRPr="00A16BF3" w:rsidRDefault="0067582E" w:rsidP="000E2D46">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Rentabilitāte(darba ražīgums)</w:t>
            </w:r>
            <w:r w:rsidR="00A16BF3">
              <w:rPr>
                <w:rFonts w:ascii="Times New Roman" w:hAnsi="Times New Roman" w:cs="Times New Roman"/>
                <w:sz w:val="20"/>
                <w:szCs w:val="20"/>
              </w:rPr>
              <w:t xml:space="preserve"> %</w:t>
            </w:r>
          </w:p>
        </w:tc>
        <w:tc>
          <w:tcPr>
            <w:tcW w:w="470" w:type="pct"/>
            <w:gridSpan w:val="3"/>
          </w:tcPr>
          <w:p w14:paraId="40444872"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-0.9%</w:t>
            </w:r>
          </w:p>
        </w:tc>
        <w:tc>
          <w:tcPr>
            <w:tcW w:w="616" w:type="pct"/>
            <w:gridSpan w:val="2"/>
          </w:tcPr>
          <w:p w14:paraId="169C0B58"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0.1%</w:t>
            </w:r>
          </w:p>
        </w:tc>
        <w:tc>
          <w:tcPr>
            <w:tcW w:w="1320" w:type="pct"/>
          </w:tcPr>
          <w:p w14:paraId="7B6BDED8"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0,5%</w:t>
            </w:r>
          </w:p>
        </w:tc>
      </w:tr>
      <w:tr w:rsidR="0067582E" w:rsidRPr="00A16BF3" w14:paraId="65DE6DE9" w14:textId="77777777" w:rsidTr="005F4B51">
        <w:tc>
          <w:tcPr>
            <w:tcW w:w="5000" w:type="pct"/>
            <w:gridSpan w:val="7"/>
            <w:tcBorders>
              <w:bottom w:val="single" w:sz="4" w:space="0" w:color="auto"/>
            </w:tcBorders>
          </w:tcPr>
          <w:p w14:paraId="6391A7C7" w14:textId="378AB2C9" w:rsidR="0067582E" w:rsidRPr="00A16BF3" w:rsidRDefault="0033360B" w:rsidP="000E2D46">
            <w:pPr>
              <w:spacing w:line="360" w:lineRule="auto"/>
              <w:jc w:val="center"/>
              <w:rPr>
                <w:rFonts w:ascii="Times New Roman" w:hAnsi="Times New Roman" w:cs="Times New Roman"/>
                <w:bCs/>
                <w:sz w:val="24"/>
                <w:szCs w:val="24"/>
              </w:rPr>
            </w:pPr>
            <w:r w:rsidRPr="00A16BF3">
              <w:rPr>
                <w:rFonts w:ascii="Times New Roman" w:hAnsi="Times New Roman" w:cs="Times New Roman"/>
                <w:bCs/>
                <w:sz w:val="24"/>
                <w:szCs w:val="24"/>
              </w:rPr>
              <w:t xml:space="preserve">Izmaksas uz vienu </w:t>
            </w:r>
            <w:r w:rsidR="00A16BF3">
              <w:rPr>
                <w:rFonts w:ascii="Times New Roman" w:hAnsi="Times New Roman" w:cs="Times New Roman"/>
                <w:bCs/>
                <w:sz w:val="24"/>
                <w:szCs w:val="24"/>
              </w:rPr>
              <w:t>palielinājušās</w:t>
            </w:r>
            <w:r w:rsidRPr="00A16BF3">
              <w:rPr>
                <w:rFonts w:ascii="Times New Roman" w:hAnsi="Times New Roman" w:cs="Times New Roman"/>
                <w:bCs/>
                <w:sz w:val="24"/>
                <w:szCs w:val="24"/>
              </w:rPr>
              <w:t xml:space="preserve"> ir palielinājušās, jo ir samazinājies apkalpoto </w:t>
            </w:r>
            <w:r w:rsidR="00A16BF3">
              <w:rPr>
                <w:rFonts w:ascii="Times New Roman" w:hAnsi="Times New Roman" w:cs="Times New Roman"/>
                <w:bCs/>
                <w:sz w:val="24"/>
                <w:szCs w:val="24"/>
              </w:rPr>
              <w:t>pacientu</w:t>
            </w:r>
            <w:r w:rsidRPr="00A16BF3">
              <w:rPr>
                <w:rFonts w:ascii="Times New Roman" w:hAnsi="Times New Roman" w:cs="Times New Roman"/>
                <w:bCs/>
                <w:sz w:val="24"/>
                <w:szCs w:val="24"/>
              </w:rPr>
              <w:t xml:space="preserve"> skaits</w:t>
            </w:r>
            <w:r w:rsidR="00A16BF3">
              <w:rPr>
                <w:rFonts w:ascii="Times New Roman" w:hAnsi="Times New Roman" w:cs="Times New Roman"/>
                <w:bCs/>
                <w:sz w:val="24"/>
                <w:szCs w:val="24"/>
              </w:rPr>
              <w:t xml:space="preserve">, bet </w:t>
            </w:r>
            <w:r w:rsidRPr="00A16BF3">
              <w:rPr>
                <w:rFonts w:ascii="Times New Roman" w:hAnsi="Times New Roman" w:cs="Times New Roman"/>
                <w:bCs/>
                <w:sz w:val="24"/>
                <w:szCs w:val="24"/>
              </w:rPr>
              <w:t xml:space="preserve">palielināts ārstniecības personāla atalgojums. </w:t>
            </w:r>
          </w:p>
        </w:tc>
      </w:tr>
      <w:tr w:rsidR="00A16BF3" w:rsidRPr="00A16BF3" w14:paraId="0760723D" w14:textId="77777777" w:rsidTr="005F4B51">
        <w:tc>
          <w:tcPr>
            <w:tcW w:w="5000" w:type="pct"/>
            <w:gridSpan w:val="7"/>
            <w:tcBorders>
              <w:top w:val="single" w:sz="4" w:space="0" w:color="auto"/>
              <w:left w:val="nil"/>
              <w:bottom w:val="single" w:sz="4" w:space="0" w:color="auto"/>
              <w:right w:val="nil"/>
            </w:tcBorders>
          </w:tcPr>
          <w:p w14:paraId="46F6DBF0" w14:textId="77777777" w:rsidR="00A16BF3" w:rsidRPr="00A16BF3" w:rsidRDefault="00A16BF3" w:rsidP="000E2D46">
            <w:pPr>
              <w:spacing w:line="360" w:lineRule="auto"/>
              <w:jc w:val="center"/>
              <w:rPr>
                <w:rFonts w:ascii="Times New Roman" w:hAnsi="Times New Roman" w:cs="Times New Roman"/>
                <w:bCs/>
                <w:sz w:val="24"/>
                <w:szCs w:val="24"/>
              </w:rPr>
            </w:pPr>
          </w:p>
        </w:tc>
      </w:tr>
      <w:tr w:rsidR="0067582E" w:rsidRPr="00A16BF3" w14:paraId="5B3CBCE7" w14:textId="77777777" w:rsidTr="005F4B51">
        <w:tc>
          <w:tcPr>
            <w:tcW w:w="5000" w:type="pct"/>
            <w:gridSpan w:val="7"/>
            <w:tcBorders>
              <w:top w:val="single" w:sz="4" w:space="0" w:color="auto"/>
            </w:tcBorders>
          </w:tcPr>
          <w:p w14:paraId="17B6CF55" w14:textId="2C4750C5" w:rsidR="0067582E" w:rsidRPr="00A16BF3" w:rsidRDefault="0067582E" w:rsidP="00A16BF3">
            <w:pPr>
              <w:pStyle w:val="ListParagraph"/>
              <w:spacing w:line="360" w:lineRule="auto"/>
              <w:jc w:val="center"/>
              <w:rPr>
                <w:rFonts w:ascii="Times New Roman" w:hAnsi="Times New Roman" w:cs="Times New Roman"/>
                <w:b/>
                <w:sz w:val="24"/>
                <w:szCs w:val="24"/>
              </w:rPr>
            </w:pPr>
            <w:r w:rsidRPr="00A16BF3">
              <w:rPr>
                <w:rFonts w:ascii="Times New Roman" w:hAnsi="Times New Roman" w:cs="Times New Roman"/>
                <w:b/>
                <w:sz w:val="24"/>
                <w:szCs w:val="24"/>
              </w:rPr>
              <w:t>Darbības virziens - pacientu drošības un veselības aprūpes pakalpojumu kvalitātes nodrošināšana</w:t>
            </w:r>
          </w:p>
        </w:tc>
      </w:tr>
      <w:tr w:rsidR="0067582E" w:rsidRPr="00A16BF3" w14:paraId="6F872358" w14:textId="77777777" w:rsidTr="00DB621D">
        <w:tc>
          <w:tcPr>
            <w:tcW w:w="2668" w:type="pct"/>
            <w:gridSpan w:val="2"/>
          </w:tcPr>
          <w:p w14:paraId="4427DFA1" w14:textId="77777777" w:rsidR="0067582E" w:rsidRPr="00A16BF3" w:rsidRDefault="0067582E" w:rsidP="000E2D46">
            <w:pPr>
              <w:spacing w:line="360" w:lineRule="auto"/>
              <w:rPr>
                <w:rFonts w:ascii="Times New Roman" w:hAnsi="Times New Roman" w:cs="Times New Roman"/>
                <w:b/>
                <w:sz w:val="20"/>
                <w:szCs w:val="20"/>
              </w:rPr>
            </w:pPr>
            <w:r w:rsidRPr="00A16BF3">
              <w:rPr>
                <w:rFonts w:ascii="Times New Roman" w:hAnsi="Times New Roman" w:cs="Times New Roman"/>
                <w:b/>
                <w:sz w:val="20"/>
                <w:szCs w:val="20"/>
              </w:rPr>
              <w:t>Rezultatīvais rādītājs</w:t>
            </w:r>
          </w:p>
        </w:tc>
        <w:tc>
          <w:tcPr>
            <w:tcW w:w="384" w:type="pct"/>
          </w:tcPr>
          <w:p w14:paraId="48BB0B0A"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2019</w:t>
            </w:r>
          </w:p>
        </w:tc>
        <w:tc>
          <w:tcPr>
            <w:tcW w:w="609" w:type="pct"/>
            <w:gridSpan w:val="2"/>
          </w:tcPr>
          <w:p w14:paraId="4AA35985"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2020.plāns</w:t>
            </w:r>
          </w:p>
        </w:tc>
        <w:tc>
          <w:tcPr>
            <w:tcW w:w="1339" w:type="pct"/>
            <w:gridSpan w:val="2"/>
          </w:tcPr>
          <w:p w14:paraId="77AE29D1"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2020.fakts</w:t>
            </w:r>
          </w:p>
        </w:tc>
      </w:tr>
      <w:tr w:rsidR="0067582E" w:rsidRPr="00A16BF3" w14:paraId="2377C19B" w14:textId="77777777" w:rsidTr="00DB621D">
        <w:tc>
          <w:tcPr>
            <w:tcW w:w="2668" w:type="pct"/>
            <w:gridSpan w:val="2"/>
          </w:tcPr>
          <w:p w14:paraId="6EDB9179" w14:textId="4342333B" w:rsidR="0067582E" w:rsidRPr="00A16BF3" w:rsidRDefault="0067582E" w:rsidP="00A16BF3">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Letalitāte</w:t>
            </w:r>
            <w:r w:rsidR="00A16BF3">
              <w:rPr>
                <w:rFonts w:ascii="Times New Roman" w:hAnsi="Times New Roman" w:cs="Times New Roman"/>
                <w:sz w:val="20"/>
                <w:szCs w:val="20"/>
              </w:rPr>
              <w:t xml:space="preserve">, </w:t>
            </w:r>
            <w:r w:rsidRPr="00A16BF3">
              <w:rPr>
                <w:rFonts w:ascii="Times New Roman" w:hAnsi="Times New Roman" w:cs="Times New Roman"/>
                <w:sz w:val="20"/>
                <w:szCs w:val="20"/>
              </w:rPr>
              <w:t>%</w:t>
            </w:r>
          </w:p>
        </w:tc>
        <w:tc>
          <w:tcPr>
            <w:tcW w:w="384" w:type="pct"/>
          </w:tcPr>
          <w:p w14:paraId="7868BAA0"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3,5</w:t>
            </w:r>
          </w:p>
        </w:tc>
        <w:tc>
          <w:tcPr>
            <w:tcW w:w="609" w:type="pct"/>
            <w:gridSpan w:val="2"/>
          </w:tcPr>
          <w:p w14:paraId="64CC8D13"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3,5</w:t>
            </w:r>
          </w:p>
        </w:tc>
        <w:tc>
          <w:tcPr>
            <w:tcW w:w="1339" w:type="pct"/>
            <w:gridSpan w:val="2"/>
          </w:tcPr>
          <w:p w14:paraId="164D02F9"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3,9</w:t>
            </w:r>
          </w:p>
        </w:tc>
      </w:tr>
      <w:tr w:rsidR="0067582E" w:rsidRPr="00A16BF3" w14:paraId="1CFA8C28" w14:textId="77777777" w:rsidTr="00DB621D">
        <w:tc>
          <w:tcPr>
            <w:tcW w:w="2668" w:type="pct"/>
            <w:gridSpan w:val="2"/>
          </w:tcPr>
          <w:p w14:paraId="11DD652C" w14:textId="6E52C0F9" w:rsidR="0067582E" w:rsidRPr="00A16BF3" w:rsidRDefault="0067582E" w:rsidP="00A16BF3">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Ķirurģiskā letalitāte operācijas dienā</w:t>
            </w:r>
            <w:r w:rsidR="00A16BF3">
              <w:rPr>
                <w:rFonts w:ascii="Times New Roman" w:hAnsi="Times New Roman" w:cs="Times New Roman"/>
                <w:sz w:val="20"/>
                <w:szCs w:val="20"/>
              </w:rPr>
              <w:t xml:space="preserve">, </w:t>
            </w:r>
            <w:r w:rsidRPr="00A16BF3">
              <w:rPr>
                <w:rFonts w:ascii="Times New Roman" w:hAnsi="Times New Roman" w:cs="Times New Roman"/>
                <w:sz w:val="20"/>
                <w:szCs w:val="20"/>
              </w:rPr>
              <w:t>%</w:t>
            </w:r>
          </w:p>
        </w:tc>
        <w:tc>
          <w:tcPr>
            <w:tcW w:w="384" w:type="pct"/>
          </w:tcPr>
          <w:p w14:paraId="757F0333"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w:t>
            </w:r>
          </w:p>
        </w:tc>
        <w:tc>
          <w:tcPr>
            <w:tcW w:w="609" w:type="pct"/>
            <w:gridSpan w:val="2"/>
          </w:tcPr>
          <w:p w14:paraId="24AAC0E7"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w:t>
            </w:r>
          </w:p>
        </w:tc>
        <w:tc>
          <w:tcPr>
            <w:tcW w:w="1339" w:type="pct"/>
            <w:gridSpan w:val="2"/>
          </w:tcPr>
          <w:p w14:paraId="45B71DAF" w14:textId="5E25EF7D" w:rsidR="0067582E" w:rsidRPr="00A16BF3" w:rsidRDefault="00C46750" w:rsidP="000E2D46">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7582E" w:rsidRPr="00A16BF3" w14:paraId="05DD8D15" w14:textId="77777777" w:rsidTr="00DB621D">
        <w:tc>
          <w:tcPr>
            <w:tcW w:w="2668" w:type="pct"/>
            <w:gridSpan w:val="2"/>
          </w:tcPr>
          <w:p w14:paraId="6779DBD3" w14:textId="058E08F9" w:rsidR="0067582E" w:rsidRPr="00A16BF3" w:rsidRDefault="0067582E" w:rsidP="00A16BF3">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Atkārtota pacienta stacionēšana 24 un 72 stundu laikā pēc izrakstīšanas</w:t>
            </w:r>
            <w:r w:rsidR="00A16BF3">
              <w:rPr>
                <w:rFonts w:ascii="Times New Roman" w:hAnsi="Times New Roman" w:cs="Times New Roman"/>
                <w:sz w:val="20"/>
                <w:szCs w:val="20"/>
              </w:rPr>
              <w:t xml:space="preserve"> </w:t>
            </w:r>
            <w:r w:rsidRPr="00A16BF3">
              <w:rPr>
                <w:rFonts w:ascii="Times New Roman" w:hAnsi="Times New Roman" w:cs="Times New Roman"/>
                <w:sz w:val="20"/>
                <w:szCs w:val="20"/>
              </w:rPr>
              <w:t>(Gadījumu skaits, % no pac. kopskaita)</w:t>
            </w:r>
          </w:p>
        </w:tc>
        <w:tc>
          <w:tcPr>
            <w:tcW w:w="384" w:type="pct"/>
          </w:tcPr>
          <w:p w14:paraId="48F31DAB"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99 – 0,1%</w:t>
            </w:r>
          </w:p>
        </w:tc>
        <w:tc>
          <w:tcPr>
            <w:tcW w:w="609" w:type="pct"/>
            <w:gridSpan w:val="2"/>
          </w:tcPr>
          <w:p w14:paraId="31C6182A"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0,1%</w:t>
            </w:r>
          </w:p>
        </w:tc>
        <w:tc>
          <w:tcPr>
            <w:tcW w:w="1339" w:type="pct"/>
            <w:gridSpan w:val="2"/>
          </w:tcPr>
          <w:p w14:paraId="1799E471"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0,8%</w:t>
            </w:r>
          </w:p>
        </w:tc>
      </w:tr>
      <w:tr w:rsidR="0067582E" w:rsidRPr="00A16BF3" w14:paraId="0E4A39ED" w14:textId="77777777" w:rsidTr="00DB621D">
        <w:tc>
          <w:tcPr>
            <w:tcW w:w="2668" w:type="pct"/>
            <w:gridSpan w:val="2"/>
          </w:tcPr>
          <w:p w14:paraId="2BBBC8F6" w14:textId="47C795BF" w:rsidR="0067582E" w:rsidRPr="00A16BF3" w:rsidRDefault="0067582E" w:rsidP="00A16BF3">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Agrīnu neplānotu reoperāciju biežums 72 stundu periodā</w:t>
            </w:r>
            <w:r w:rsidR="00A16BF3">
              <w:rPr>
                <w:rFonts w:ascii="Times New Roman" w:hAnsi="Times New Roman" w:cs="Times New Roman"/>
                <w:sz w:val="20"/>
                <w:szCs w:val="20"/>
              </w:rPr>
              <w:t xml:space="preserve">, </w:t>
            </w:r>
            <w:r w:rsidRPr="00A16BF3">
              <w:rPr>
                <w:rFonts w:ascii="Times New Roman" w:hAnsi="Times New Roman" w:cs="Times New Roman"/>
                <w:sz w:val="20"/>
                <w:szCs w:val="20"/>
              </w:rPr>
              <w:t>%</w:t>
            </w:r>
          </w:p>
        </w:tc>
        <w:tc>
          <w:tcPr>
            <w:tcW w:w="384" w:type="pct"/>
          </w:tcPr>
          <w:p w14:paraId="5E195145"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w:t>
            </w:r>
          </w:p>
        </w:tc>
        <w:tc>
          <w:tcPr>
            <w:tcW w:w="609" w:type="pct"/>
            <w:gridSpan w:val="2"/>
          </w:tcPr>
          <w:p w14:paraId="0C4F9DFC"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0</w:t>
            </w:r>
          </w:p>
        </w:tc>
        <w:tc>
          <w:tcPr>
            <w:tcW w:w="1339" w:type="pct"/>
            <w:gridSpan w:val="2"/>
          </w:tcPr>
          <w:p w14:paraId="656C7ED2" w14:textId="706184CB" w:rsidR="0067582E" w:rsidRPr="00A16BF3" w:rsidRDefault="00C46750" w:rsidP="000E2D46">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67582E" w:rsidRPr="00A16BF3" w14:paraId="6F5DB933" w14:textId="77777777" w:rsidTr="00DB621D">
        <w:tc>
          <w:tcPr>
            <w:tcW w:w="2668" w:type="pct"/>
            <w:gridSpan w:val="2"/>
          </w:tcPr>
          <w:p w14:paraId="2D7D6879" w14:textId="597BBD73" w:rsidR="0067582E" w:rsidRPr="00A16BF3" w:rsidRDefault="0067582E" w:rsidP="00A16BF3">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Reoperāciju īpatsvars infekcijas dēļ</w:t>
            </w:r>
            <w:r w:rsidR="00A16BF3">
              <w:rPr>
                <w:rFonts w:ascii="Times New Roman" w:hAnsi="Times New Roman" w:cs="Times New Roman"/>
                <w:sz w:val="20"/>
                <w:szCs w:val="20"/>
              </w:rPr>
              <w:t xml:space="preserve">, </w:t>
            </w:r>
            <w:r w:rsidRPr="00A16BF3">
              <w:rPr>
                <w:rFonts w:ascii="Times New Roman" w:hAnsi="Times New Roman" w:cs="Times New Roman"/>
                <w:sz w:val="20"/>
                <w:szCs w:val="20"/>
              </w:rPr>
              <w:t>%</w:t>
            </w:r>
          </w:p>
        </w:tc>
        <w:tc>
          <w:tcPr>
            <w:tcW w:w="384" w:type="pct"/>
          </w:tcPr>
          <w:p w14:paraId="3F1DC7B1"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w:t>
            </w:r>
          </w:p>
        </w:tc>
        <w:tc>
          <w:tcPr>
            <w:tcW w:w="609" w:type="pct"/>
            <w:gridSpan w:val="2"/>
          </w:tcPr>
          <w:p w14:paraId="7482B40E"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0</w:t>
            </w:r>
          </w:p>
        </w:tc>
        <w:tc>
          <w:tcPr>
            <w:tcW w:w="1339" w:type="pct"/>
            <w:gridSpan w:val="2"/>
          </w:tcPr>
          <w:p w14:paraId="5542665C" w14:textId="68305FA6" w:rsidR="0067582E" w:rsidRPr="00A16BF3" w:rsidRDefault="00C46750" w:rsidP="000E2D46">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67582E" w:rsidRPr="00A16BF3" w14:paraId="21B2A85E" w14:textId="77777777" w:rsidTr="00DB621D">
        <w:tc>
          <w:tcPr>
            <w:tcW w:w="2668" w:type="pct"/>
            <w:gridSpan w:val="2"/>
          </w:tcPr>
          <w:p w14:paraId="2B6809E4" w14:textId="19511448" w:rsidR="0067582E" w:rsidRPr="00A16BF3" w:rsidRDefault="0067582E" w:rsidP="00A16BF3">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Svešķermenis, kas pēc manipulācijas nejauši atstāts ķermeņa dobumā vai operācijas brūcē</w:t>
            </w:r>
            <w:r w:rsidR="00A16BF3">
              <w:rPr>
                <w:rFonts w:ascii="Times New Roman" w:hAnsi="Times New Roman" w:cs="Times New Roman"/>
                <w:sz w:val="20"/>
                <w:szCs w:val="20"/>
              </w:rPr>
              <w:t xml:space="preserve"> (</w:t>
            </w:r>
            <w:r w:rsidRPr="00A16BF3">
              <w:rPr>
                <w:rFonts w:ascii="Times New Roman" w:hAnsi="Times New Roman" w:cs="Times New Roman"/>
                <w:sz w:val="20"/>
                <w:szCs w:val="20"/>
              </w:rPr>
              <w:t>Gadījumu skaits</w:t>
            </w:r>
            <w:r w:rsidR="00A16BF3">
              <w:rPr>
                <w:rFonts w:ascii="Times New Roman" w:hAnsi="Times New Roman" w:cs="Times New Roman"/>
                <w:sz w:val="20"/>
                <w:szCs w:val="20"/>
              </w:rPr>
              <w:t>)</w:t>
            </w:r>
          </w:p>
        </w:tc>
        <w:tc>
          <w:tcPr>
            <w:tcW w:w="384" w:type="pct"/>
          </w:tcPr>
          <w:p w14:paraId="51503F7A"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w:t>
            </w:r>
          </w:p>
        </w:tc>
        <w:tc>
          <w:tcPr>
            <w:tcW w:w="609" w:type="pct"/>
            <w:gridSpan w:val="2"/>
          </w:tcPr>
          <w:p w14:paraId="0EA00862"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0</w:t>
            </w:r>
          </w:p>
        </w:tc>
        <w:tc>
          <w:tcPr>
            <w:tcW w:w="1339" w:type="pct"/>
            <w:gridSpan w:val="2"/>
          </w:tcPr>
          <w:p w14:paraId="2C6E6202" w14:textId="22D23F8B" w:rsidR="0067582E" w:rsidRPr="00A16BF3" w:rsidRDefault="00C46750" w:rsidP="000E2D46">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67582E" w:rsidRPr="00A16BF3" w14:paraId="7EE43483" w14:textId="77777777" w:rsidTr="00DB621D">
        <w:tc>
          <w:tcPr>
            <w:tcW w:w="2668" w:type="pct"/>
            <w:gridSpan w:val="2"/>
          </w:tcPr>
          <w:p w14:paraId="21B0310A" w14:textId="78924E89" w:rsidR="0067582E" w:rsidRPr="00A16BF3" w:rsidRDefault="0067582E" w:rsidP="00A16BF3">
            <w:pPr>
              <w:spacing w:line="360" w:lineRule="auto"/>
              <w:jc w:val="both"/>
              <w:rPr>
                <w:rFonts w:ascii="Times New Roman" w:hAnsi="Times New Roman" w:cs="Times New Roman"/>
                <w:sz w:val="20"/>
                <w:szCs w:val="20"/>
              </w:rPr>
            </w:pPr>
            <w:r w:rsidRPr="00A16BF3">
              <w:rPr>
                <w:rFonts w:ascii="Times New Roman" w:hAnsi="Times New Roman" w:cs="Times New Roman"/>
                <w:sz w:val="20"/>
                <w:szCs w:val="20"/>
              </w:rPr>
              <w:t>Intrahospitālo infekciju gadījumi (slimnīcā iegūti, gadījumos netiek ieskaitīti pacienti, kuri ievesti ar jau esošu intrahospitālo infekciju)</w:t>
            </w:r>
            <w:r w:rsidR="00A16BF3">
              <w:rPr>
                <w:rFonts w:ascii="Times New Roman" w:hAnsi="Times New Roman" w:cs="Times New Roman"/>
                <w:sz w:val="20"/>
                <w:szCs w:val="20"/>
              </w:rPr>
              <w:t>, (</w:t>
            </w:r>
            <w:r w:rsidRPr="00A16BF3">
              <w:rPr>
                <w:rFonts w:ascii="Times New Roman" w:hAnsi="Times New Roman" w:cs="Times New Roman"/>
                <w:sz w:val="20"/>
                <w:szCs w:val="20"/>
              </w:rPr>
              <w:t>Gadījumu skaits</w:t>
            </w:r>
            <w:r w:rsidR="00A16BF3">
              <w:rPr>
                <w:rFonts w:ascii="Times New Roman" w:hAnsi="Times New Roman" w:cs="Times New Roman"/>
                <w:sz w:val="20"/>
                <w:szCs w:val="20"/>
              </w:rPr>
              <w:t>)</w:t>
            </w:r>
          </w:p>
        </w:tc>
        <w:tc>
          <w:tcPr>
            <w:tcW w:w="384" w:type="pct"/>
          </w:tcPr>
          <w:p w14:paraId="7F5614EF"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w:t>
            </w:r>
          </w:p>
        </w:tc>
        <w:tc>
          <w:tcPr>
            <w:tcW w:w="609" w:type="pct"/>
            <w:gridSpan w:val="2"/>
          </w:tcPr>
          <w:p w14:paraId="246E1FE5"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0</w:t>
            </w:r>
          </w:p>
        </w:tc>
        <w:tc>
          <w:tcPr>
            <w:tcW w:w="1339" w:type="pct"/>
            <w:gridSpan w:val="2"/>
          </w:tcPr>
          <w:p w14:paraId="2FCA4C77" w14:textId="76DC81F9" w:rsidR="0067582E" w:rsidRPr="00A16BF3" w:rsidRDefault="00C46750" w:rsidP="000E2D46">
            <w:pPr>
              <w:spacing w:line="360" w:lineRule="auto"/>
              <w:jc w:val="center"/>
              <w:rPr>
                <w:rFonts w:ascii="Times New Roman" w:hAnsi="Times New Roman" w:cs="Times New Roman"/>
                <w:b/>
                <w:sz w:val="20"/>
                <w:szCs w:val="20"/>
              </w:rPr>
            </w:pPr>
            <w:r>
              <w:rPr>
                <w:rFonts w:ascii="Times New Roman" w:hAnsi="Times New Roman" w:cs="Times New Roman"/>
                <w:b/>
                <w:sz w:val="20"/>
                <w:szCs w:val="20"/>
              </w:rPr>
              <w:t>0</w:t>
            </w:r>
          </w:p>
        </w:tc>
      </w:tr>
    </w:tbl>
    <w:p w14:paraId="13BF8A24" w14:textId="1FDBD19C" w:rsidR="0067582E" w:rsidRPr="00A16BF3" w:rsidRDefault="0067582E" w:rsidP="000E2D46">
      <w:pPr>
        <w:spacing w:after="0" w:line="360" w:lineRule="auto"/>
        <w:jc w:val="center"/>
        <w:rPr>
          <w:sz w:val="28"/>
          <w:szCs w:val="28"/>
        </w:rPr>
      </w:pPr>
      <w:r w:rsidRPr="00A16BF3">
        <w:rPr>
          <w:rFonts w:ascii="Times New Roman" w:hAnsi="Times New Roman" w:cs="Times New Roman"/>
          <w:b/>
          <w:sz w:val="28"/>
          <w:szCs w:val="28"/>
        </w:rPr>
        <w:lastRenderedPageBreak/>
        <w:t>2.Finanšu mērķi</w:t>
      </w:r>
    </w:p>
    <w:tbl>
      <w:tblPr>
        <w:tblStyle w:val="TableGrid"/>
        <w:tblW w:w="4793" w:type="pct"/>
        <w:tblLook w:val="04A0" w:firstRow="1" w:lastRow="0" w:firstColumn="1" w:lastColumn="0" w:noHBand="0" w:noVBand="1"/>
      </w:tblPr>
      <w:tblGrid>
        <w:gridCol w:w="5576"/>
        <w:gridCol w:w="1091"/>
        <w:gridCol w:w="1122"/>
        <w:gridCol w:w="1168"/>
      </w:tblGrid>
      <w:tr w:rsidR="0067582E" w:rsidRPr="00A16BF3" w14:paraId="34B1FCE3" w14:textId="77777777" w:rsidTr="0067582E">
        <w:tc>
          <w:tcPr>
            <w:tcW w:w="3137" w:type="pct"/>
          </w:tcPr>
          <w:p w14:paraId="362346FE" w14:textId="77777777" w:rsidR="0067582E" w:rsidRPr="00A16BF3" w:rsidRDefault="0067582E" w:rsidP="000E2D46">
            <w:pPr>
              <w:spacing w:line="360" w:lineRule="auto"/>
              <w:rPr>
                <w:rFonts w:ascii="Times New Roman" w:hAnsi="Times New Roman" w:cs="Times New Roman"/>
                <w:b/>
                <w:sz w:val="20"/>
                <w:szCs w:val="20"/>
              </w:rPr>
            </w:pPr>
            <w:r w:rsidRPr="00A16BF3">
              <w:rPr>
                <w:rFonts w:ascii="Times New Roman" w:hAnsi="Times New Roman" w:cs="Times New Roman"/>
                <w:b/>
                <w:sz w:val="20"/>
                <w:szCs w:val="20"/>
              </w:rPr>
              <w:t>Rezultatīvais rādītājs</w:t>
            </w:r>
          </w:p>
        </w:tc>
        <w:tc>
          <w:tcPr>
            <w:tcW w:w="633" w:type="pct"/>
          </w:tcPr>
          <w:p w14:paraId="026755CB"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2019</w:t>
            </w:r>
          </w:p>
        </w:tc>
        <w:tc>
          <w:tcPr>
            <w:tcW w:w="554" w:type="pct"/>
          </w:tcPr>
          <w:p w14:paraId="51530637"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2020.plāns</w:t>
            </w:r>
          </w:p>
        </w:tc>
        <w:tc>
          <w:tcPr>
            <w:tcW w:w="677" w:type="pct"/>
          </w:tcPr>
          <w:p w14:paraId="79225208"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2020.fakts</w:t>
            </w:r>
          </w:p>
        </w:tc>
      </w:tr>
      <w:tr w:rsidR="0067582E" w:rsidRPr="00A16BF3" w14:paraId="4D293F84" w14:textId="77777777" w:rsidTr="0067582E">
        <w:tc>
          <w:tcPr>
            <w:tcW w:w="3137" w:type="pct"/>
          </w:tcPr>
          <w:p w14:paraId="2B3F4D3C"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Debitoru summas samazināšana</w:t>
            </w:r>
          </w:p>
          <w:p w14:paraId="3682B630"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w:t>
            </w:r>
          </w:p>
        </w:tc>
        <w:tc>
          <w:tcPr>
            <w:tcW w:w="633" w:type="pct"/>
          </w:tcPr>
          <w:p w14:paraId="4F941C8A"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-12.1%</w:t>
            </w:r>
          </w:p>
        </w:tc>
        <w:tc>
          <w:tcPr>
            <w:tcW w:w="554" w:type="pct"/>
          </w:tcPr>
          <w:p w14:paraId="0017B074"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+5%</w:t>
            </w:r>
          </w:p>
        </w:tc>
        <w:tc>
          <w:tcPr>
            <w:tcW w:w="677" w:type="pct"/>
          </w:tcPr>
          <w:p w14:paraId="27D90F36" w14:textId="77777777" w:rsidR="0067582E" w:rsidRPr="00A16BF3" w:rsidRDefault="0067582E" w:rsidP="000E2D46">
            <w:pPr>
              <w:spacing w:line="360" w:lineRule="auto"/>
              <w:jc w:val="center"/>
              <w:rPr>
                <w:rFonts w:ascii="Times New Roman" w:hAnsi="Times New Roman" w:cs="Times New Roman"/>
                <w:b/>
                <w:sz w:val="20"/>
                <w:szCs w:val="20"/>
              </w:rPr>
            </w:pPr>
            <w:r w:rsidRPr="00A16BF3">
              <w:rPr>
                <w:rFonts w:ascii="Times New Roman" w:hAnsi="Times New Roman" w:cs="Times New Roman"/>
                <w:b/>
                <w:sz w:val="20"/>
                <w:szCs w:val="20"/>
              </w:rPr>
              <w:t>+8.6%</w:t>
            </w:r>
          </w:p>
        </w:tc>
      </w:tr>
      <w:tr w:rsidR="0067582E" w:rsidRPr="00A16BF3" w14:paraId="35038380" w14:textId="77777777" w:rsidTr="0067582E">
        <w:tc>
          <w:tcPr>
            <w:tcW w:w="3137" w:type="pct"/>
          </w:tcPr>
          <w:p w14:paraId="42769B92"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Apgrozījumu līdzekļu uzkrāšana atalgojumam</w:t>
            </w:r>
          </w:p>
          <w:p w14:paraId="5B3B0A1A"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 no nepieciešamā apjoma</w:t>
            </w:r>
          </w:p>
        </w:tc>
        <w:tc>
          <w:tcPr>
            <w:tcW w:w="633" w:type="pct"/>
          </w:tcPr>
          <w:p w14:paraId="02FF6E07"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w:t>
            </w:r>
          </w:p>
        </w:tc>
        <w:tc>
          <w:tcPr>
            <w:tcW w:w="554" w:type="pct"/>
          </w:tcPr>
          <w:p w14:paraId="1C2CA935"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2%</w:t>
            </w:r>
          </w:p>
        </w:tc>
        <w:tc>
          <w:tcPr>
            <w:tcW w:w="677" w:type="pct"/>
          </w:tcPr>
          <w:p w14:paraId="7864259A"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sz w:val="20"/>
                <w:szCs w:val="20"/>
              </w:rPr>
              <w:t>0%</w:t>
            </w:r>
          </w:p>
        </w:tc>
      </w:tr>
      <w:tr w:rsidR="0067582E" w:rsidRPr="00A16BF3" w14:paraId="7B11389C" w14:textId="77777777" w:rsidTr="0067582E">
        <w:tc>
          <w:tcPr>
            <w:tcW w:w="3137" w:type="pct"/>
          </w:tcPr>
          <w:p w14:paraId="62D89765" w14:textId="77777777" w:rsidR="0067582E" w:rsidRPr="00A16BF3" w:rsidRDefault="0067582E" w:rsidP="000E2D46">
            <w:pPr>
              <w:spacing w:line="360" w:lineRule="auto"/>
              <w:rPr>
                <w:rFonts w:ascii="Times New Roman" w:hAnsi="Times New Roman" w:cs="Times New Roman"/>
                <w:sz w:val="20"/>
                <w:szCs w:val="20"/>
              </w:rPr>
            </w:pPr>
            <w:r w:rsidRPr="00A16BF3">
              <w:rPr>
                <w:rFonts w:ascii="Times New Roman" w:hAnsi="Times New Roman" w:cs="Times New Roman"/>
                <w:sz w:val="20"/>
                <w:szCs w:val="20"/>
              </w:rPr>
              <w:t>Peļņa/zaudējumi</w:t>
            </w:r>
          </w:p>
        </w:tc>
        <w:tc>
          <w:tcPr>
            <w:tcW w:w="633" w:type="pct"/>
          </w:tcPr>
          <w:p w14:paraId="2A34EBFD"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eastAsia="Times New Roman" w:hAnsi="Times New Roman" w:cs="Times New Roman"/>
                <w:b/>
                <w:bCs/>
                <w:color w:val="000000"/>
                <w:sz w:val="20"/>
                <w:szCs w:val="20"/>
                <w:lang w:eastAsia="en-GB"/>
              </w:rPr>
              <w:t>-121 706</w:t>
            </w:r>
          </w:p>
        </w:tc>
        <w:tc>
          <w:tcPr>
            <w:tcW w:w="554" w:type="pct"/>
          </w:tcPr>
          <w:p w14:paraId="4B4E0AC6"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b/>
                <w:bCs/>
                <w:color w:val="000000"/>
                <w:sz w:val="20"/>
                <w:szCs w:val="20"/>
              </w:rPr>
              <w:t>13 734</w:t>
            </w:r>
          </w:p>
        </w:tc>
        <w:tc>
          <w:tcPr>
            <w:tcW w:w="677" w:type="pct"/>
          </w:tcPr>
          <w:p w14:paraId="0C001ACF" w14:textId="77777777" w:rsidR="0067582E" w:rsidRPr="00A16BF3" w:rsidRDefault="0067582E" w:rsidP="000E2D46">
            <w:pPr>
              <w:spacing w:line="360" w:lineRule="auto"/>
              <w:jc w:val="center"/>
              <w:rPr>
                <w:rFonts w:ascii="Times New Roman" w:hAnsi="Times New Roman" w:cs="Times New Roman"/>
                <w:sz w:val="20"/>
                <w:szCs w:val="20"/>
              </w:rPr>
            </w:pPr>
            <w:r w:rsidRPr="00A16BF3">
              <w:rPr>
                <w:rFonts w:ascii="Times New Roman" w:hAnsi="Times New Roman" w:cs="Times New Roman"/>
                <w:b/>
                <w:sz w:val="20"/>
                <w:szCs w:val="20"/>
              </w:rPr>
              <w:t>73 311</w:t>
            </w:r>
          </w:p>
        </w:tc>
      </w:tr>
      <w:bookmarkEnd w:id="29"/>
      <w:bookmarkEnd w:id="30"/>
    </w:tbl>
    <w:p w14:paraId="5EB5A877" w14:textId="77777777" w:rsidR="0067582E" w:rsidRPr="00A16BF3" w:rsidRDefault="0067582E" w:rsidP="000E2D46">
      <w:pPr>
        <w:spacing w:after="0" w:line="360" w:lineRule="auto"/>
      </w:pPr>
    </w:p>
    <w:p w14:paraId="3E0A5260" w14:textId="3A46E2C9" w:rsidR="00E013F6" w:rsidRPr="00A9528F" w:rsidRDefault="00E013F6" w:rsidP="00E013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Rezultatīvie </w:t>
      </w:r>
      <w:r w:rsidRPr="00A9528F">
        <w:rPr>
          <w:rFonts w:ascii="Times New Roman" w:hAnsi="Times New Roman" w:cs="Times New Roman"/>
          <w:sz w:val="24"/>
          <w:szCs w:val="24"/>
        </w:rPr>
        <w:t xml:space="preserve">rādītāji norāda, ka, lai gan 2020.gada </w:t>
      </w:r>
      <w:r w:rsidRPr="00A9528F">
        <w:rPr>
          <w:rFonts w:ascii="Times New Roman" w:eastAsia="Calibri" w:hAnsi="Times New Roman" w:cs="Times New Roman"/>
          <w:color w:val="000000"/>
          <w:sz w:val="24"/>
          <w:szCs w:val="24"/>
          <w:lang w:eastAsia="zh-CN"/>
        </w:rPr>
        <w:t>COVID-19 pandēmija un ārkārtējā situācija valstī</w:t>
      </w:r>
      <w:r w:rsidRPr="00A9528F">
        <w:rPr>
          <w:rFonts w:ascii="Times New Roman" w:hAnsi="Times New Roman" w:cs="Times New Roman"/>
          <w:sz w:val="24"/>
          <w:szCs w:val="24"/>
        </w:rPr>
        <w:t xml:space="preserve"> ir ietekmējusi  kapitālsabiedrības darbīb</w:t>
      </w:r>
      <w:r>
        <w:rPr>
          <w:rFonts w:ascii="Times New Roman" w:hAnsi="Times New Roman" w:cs="Times New Roman"/>
          <w:sz w:val="24"/>
          <w:szCs w:val="24"/>
        </w:rPr>
        <w:t>a</w:t>
      </w:r>
      <w:r w:rsidR="00C46750">
        <w:rPr>
          <w:rFonts w:ascii="Times New Roman" w:hAnsi="Times New Roman" w:cs="Times New Roman"/>
          <w:sz w:val="24"/>
          <w:szCs w:val="24"/>
        </w:rPr>
        <w:t>s</w:t>
      </w:r>
      <w:r>
        <w:rPr>
          <w:rFonts w:ascii="Times New Roman" w:hAnsi="Times New Roman" w:cs="Times New Roman"/>
          <w:sz w:val="24"/>
          <w:szCs w:val="24"/>
        </w:rPr>
        <w:t xml:space="preserve"> struktūru</w:t>
      </w:r>
      <w:r w:rsidR="00C46750">
        <w:rPr>
          <w:rFonts w:ascii="Times New Roman" w:hAnsi="Times New Roman" w:cs="Times New Roman"/>
          <w:sz w:val="24"/>
          <w:szCs w:val="24"/>
        </w:rPr>
        <w:t xml:space="preserve"> pakalpojumu sniegšanā</w:t>
      </w:r>
      <w:r w:rsidRPr="00A9528F">
        <w:rPr>
          <w:rFonts w:ascii="Times New Roman" w:hAnsi="Times New Roman" w:cs="Times New Roman"/>
          <w:sz w:val="24"/>
          <w:szCs w:val="24"/>
        </w:rPr>
        <w:t xml:space="preserve">, tomēr </w:t>
      </w:r>
      <w:r w:rsidR="00077DCC">
        <w:rPr>
          <w:rFonts w:ascii="Times New Roman" w:hAnsi="Times New Roman" w:cs="Times New Roman"/>
          <w:sz w:val="24"/>
          <w:szCs w:val="24"/>
        </w:rPr>
        <w:t>finanšu rezultāti būtiski neatšķiras no plānotajiem</w:t>
      </w:r>
      <w:r w:rsidR="00077DCC" w:rsidRPr="00077DCC">
        <w:rPr>
          <w:rFonts w:ascii="Times New Roman" w:hAnsi="Times New Roman" w:cs="Times New Roman"/>
          <w:sz w:val="24"/>
          <w:szCs w:val="24"/>
        </w:rPr>
        <w:t xml:space="preserve"> </w:t>
      </w:r>
      <w:r w:rsidR="00077DCC">
        <w:rPr>
          <w:rFonts w:ascii="Times New Roman" w:hAnsi="Times New Roman" w:cs="Times New Roman"/>
          <w:sz w:val="24"/>
          <w:szCs w:val="24"/>
        </w:rPr>
        <w:t xml:space="preserve">un </w:t>
      </w:r>
      <w:r w:rsidR="00077DCC" w:rsidRPr="00A9528F">
        <w:rPr>
          <w:rFonts w:ascii="Times New Roman" w:hAnsi="Times New Roman" w:cs="Times New Roman"/>
          <w:sz w:val="24"/>
          <w:szCs w:val="24"/>
        </w:rPr>
        <w:t>liecina par veiksmīgu</w:t>
      </w:r>
      <w:r w:rsidR="00077DCC">
        <w:rPr>
          <w:rFonts w:ascii="Times New Roman" w:hAnsi="Times New Roman" w:cs="Times New Roman"/>
          <w:sz w:val="24"/>
          <w:szCs w:val="24"/>
        </w:rPr>
        <w:t xml:space="preserve"> arī turmāku</w:t>
      </w:r>
      <w:r w:rsidR="00077DCC" w:rsidRPr="00A9528F">
        <w:rPr>
          <w:rFonts w:ascii="Times New Roman" w:hAnsi="Times New Roman" w:cs="Times New Roman"/>
          <w:sz w:val="24"/>
          <w:szCs w:val="24"/>
        </w:rPr>
        <w:t xml:space="preserve">  virzību Stratēģijā nosprausto mērķu sasniegšana</w:t>
      </w:r>
      <w:r w:rsidR="00077DCC">
        <w:rPr>
          <w:rFonts w:ascii="Times New Roman" w:hAnsi="Times New Roman" w:cs="Times New Roman"/>
          <w:sz w:val="24"/>
          <w:szCs w:val="24"/>
        </w:rPr>
        <w:t>i</w:t>
      </w:r>
      <w:r w:rsidRPr="00A9528F">
        <w:rPr>
          <w:rFonts w:ascii="Times New Roman" w:hAnsi="Times New Roman" w:cs="Times New Roman"/>
          <w:sz w:val="24"/>
          <w:szCs w:val="24"/>
        </w:rPr>
        <w:t xml:space="preserve">. </w:t>
      </w:r>
    </w:p>
    <w:p w14:paraId="7619EACE" w14:textId="502F34D3" w:rsidR="00845846" w:rsidRPr="00A16BF3" w:rsidRDefault="00845846" w:rsidP="00E013F6">
      <w:pPr>
        <w:spacing w:after="0" w:line="360" w:lineRule="auto"/>
        <w:ind w:firstLine="720"/>
        <w:rPr>
          <w:rFonts w:ascii="Times New Roman" w:hAnsi="Times New Roman" w:cs="Times New Roman"/>
          <w:sz w:val="24"/>
          <w:szCs w:val="24"/>
        </w:rPr>
      </w:pPr>
    </w:p>
    <w:sectPr w:rsidR="00845846" w:rsidRPr="00A16BF3" w:rsidSect="00213FF3">
      <w:footerReference w:type="default" r:id="rId15"/>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9AA8" w14:textId="77777777" w:rsidR="002061F2" w:rsidRDefault="002061F2" w:rsidP="0015540B">
      <w:pPr>
        <w:spacing w:after="0" w:line="240" w:lineRule="auto"/>
      </w:pPr>
      <w:r>
        <w:separator/>
      </w:r>
    </w:p>
  </w:endnote>
  <w:endnote w:type="continuationSeparator" w:id="0">
    <w:p w14:paraId="31852A57" w14:textId="77777777" w:rsidR="002061F2" w:rsidRDefault="002061F2" w:rsidP="0015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959469"/>
      <w:docPartObj>
        <w:docPartGallery w:val="Page Numbers (Bottom of Page)"/>
        <w:docPartUnique/>
      </w:docPartObj>
    </w:sdtPr>
    <w:sdtEndPr>
      <w:rPr>
        <w:noProof/>
      </w:rPr>
    </w:sdtEndPr>
    <w:sdtContent>
      <w:p w14:paraId="5C024978" w14:textId="33A09F11" w:rsidR="00213FF3" w:rsidRDefault="00213FF3" w:rsidP="00213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B8A6" w14:textId="77777777" w:rsidR="002061F2" w:rsidRDefault="002061F2" w:rsidP="0015540B">
      <w:pPr>
        <w:spacing w:after="0" w:line="240" w:lineRule="auto"/>
      </w:pPr>
      <w:r>
        <w:separator/>
      </w:r>
    </w:p>
  </w:footnote>
  <w:footnote w:type="continuationSeparator" w:id="0">
    <w:p w14:paraId="204493A9" w14:textId="77777777" w:rsidR="002061F2" w:rsidRDefault="002061F2" w:rsidP="00155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BFB4102A"/>
    <w:name w:val="WW8Num14"/>
    <w:lvl w:ilvl="0">
      <w:start w:val="1"/>
      <w:numFmt w:val="decimal"/>
      <w:lvlText w:val="%1."/>
      <w:lvlJc w:val="left"/>
      <w:pPr>
        <w:tabs>
          <w:tab w:val="num" w:pos="0"/>
        </w:tabs>
        <w:ind w:left="360" w:hanging="360"/>
      </w:pPr>
    </w:lvl>
    <w:lvl w:ilvl="1">
      <w:start w:val="1"/>
      <w:numFmt w:val="decimal"/>
      <w:lvlText w:val="%1.%2."/>
      <w:lvlJc w:val="left"/>
      <w:pPr>
        <w:tabs>
          <w:tab w:val="num" w:pos="-360"/>
        </w:tabs>
        <w:ind w:left="432" w:hanging="432"/>
      </w:pPr>
      <w:rPr>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9203D0"/>
    <w:multiLevelType w:val="hybridMultilevel"/>
    <w:tmpl w:val="C6E4A010"/>
    <w:lvl w:ilvl="0" w:tplc="04260001">
      <w:start w:val="1"/>
      <w:numFmt w:val="bullet"/>
      <w:lvlText w:val=""/>
      <w:lvlJc w:val="left"/>
      <w:pPr>
        <w:ind w:left="1077" w:hanging="360"/>
      </w:pPr>
      <w:rPr>
        <w:rFonts w:ascii="Symbol" w:hAnsi="Symbol" w:cs="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 w15:restartNumberingAfterBreak="0">
    <w:nsid w:val="05582439"/>
    <w:multiLevelType w:val="hybridMultilevel"/>
    <w:tmpl w:val="C98A3312"/>
    <w:lvl w:ilvl="0" w:tplc="04260001">
      <w:start w:val="1"/>
      <w:numFmt w:val="bullet"/>
      <w:lvlText w:val=""/>
      <w:lvlJc w:val="left"/>
      <w:pPr>
        <w:ind w:left="1080" w:hanging="360"/>
      </w:pPr>
      <w:rPr>
        <w:rFonts w:ascii="Symbol" w:hAnsi="Symbol" w:cs="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6A34443"/>
    <w:multiLevelType w:val="hybridMultilevel"/>
    <w:tmpl w:val="FA3EBD2E"/>
    <w:lvl w:ilvl="0" w:tplc="04260001">
      <w:start w:val="1"/>
      <w:numFmt w:val="bullet"/>
      <w:lvlText w:val=""/>
      <w:lvlJc w:val="left"/>
      <w:pPr>
        <w:ind w:left="1080" w:hanging="360"/>
      </w:pPr>
      <w:rPr>
        <w:rFonts w:ascii="Symbol" w:hAnsi="Symbol" w:cs="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A1279B1"/>
    <w:multiLevelType w:val="hybridMultilevel"/>
    <w:tmpl w:val="8CB450DE"/>
    <w:lvl w:ilvl="0" w:tplc="04260001">
      <w:start w:val="1"/>
      <w:numFmt w:val="bullet"/>
      <w:lvlText w:val=""/>
      <w:lvlJc w:val="left"/>
      <w:pPr>
        <w:ind w:left="1644" w:hanging="360"/>
      </w:pPr>
      <w:rPr>
        <w:rFonts w:ascii="Symbol" w:hAnsi="Symbol" w:cs="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5" w15:restartNumberingAfterBreak="0">
    <w:nsid w:val="1B7D52C2"/>
    <w:multiLevelType w:val="hybridMultilevel"/>
    <w:tmpl w:val="3E6AC9A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2CE60D6"/>
    <w:multiLevelType w:val="multilevel"/>
    <w:tmpl w:val="1898E0C4"/>
    <w:lvl w:ilvl="0">
      <w:start w:val="1"/>
      <w:numFmt w:val="decimal"/>
      <w:lvlText w:val="%1."/>
      <w:lvlJc w:val="left"/>
      <w:pPr>
        <w:tabs>
          <w:tab w:val="num" w:pos="0"/>
        </w:tabs>
        <w:ind w:left="360" w:hanging="360"/>
      </w:pPr>
    </w:lvl>
    <w:lvl w:ilvl="1">
      <w:numFmt w:val="bullet"/>
      <w:lvlText w:val="-"/>
      <w:lvlJc w:val="left"/>
      <w:pPr>
        <w:tabs>
          <w:tab w:val="num" w:pos="-360"/>
        </w:tabs>
        <w:ind w:left="432" w:hanging="432"/>
      </w:pPr>
      <w:rPr>
        <w:rFonts w:ascii="Times New Roman" w:eastAsia="Calibri" w:hAnsi="Times New Roman" w:cs="Times New Roman" w:hint="default"/>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268041CB"/>
    <w:multiLevelType w:val="hybridMultilevel"/>
    <w:tmpl w:val="9B2ECF02"/>
    <w:lvl w:ilvl="0" w:tplc="04260001">
      <w:start w:val="1"/>
      <w:numFmt w:val="bullet"/>
      <w:lvlText w:val=""/>
      <w:lvlJc w:val="left"/>
      <w:pPr>
        <w:ind w:left="1080" w:hanging="360"/>
      </w:pPr>
      <w:rPr>
        <w:rFonts w:ascii="Symbol" w:hAnsi="Symbol" w:cs="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A455616"/>
    <w:multiLevelType w:val="hybridMultilevel"/>
    <w:tmpl w:val="282E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F31B9"/>
    <w:multiLevelType w:val="hybridMultilevel"/>
    <w:tmpl w:val="65AC063E"/>
    <w:lvl w:ilvl="0" w:tplc="0426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ACA0ECF"/>
    <w:multiLevelType w:val="hybridMultilevel"/>
    <w:tmpl w:val="BE4034B0"/>
    <w:lvl w:ilvl="0" w:tplc="04260001">
      <w:start w:val="1"/>
      <w:numFmt w:val="bullet"/>
      <w:lvlText w:val=""/>
      <w:lvlJc w:val="left"/>
      <w:pPr>
        <w:ind w:left="720"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52443D"/>
    <w:multiLevelType w:val="multilevel"/>
    <w:tmpl w:val="1898E0C4"/>
    <w:lvl w:ilvl="0">
      <w:start w:val="1"/>
      <w:numFmt w:val="decimal"/>
      <w:lvlText w:val="%1."/>
      <w:lvlJc w:val="left"/>
      <w:pPr>
        <w:tabs>
          <w:tab w:val="num" w:pos="0"/>
        </w:tabs>
        <w:ind w:left="360" w:hanging="360"/>
      </w:pPr>
    </w:lvl>
    <w:lvl w:ilvl="1">
      <w:numFmt w:val="bullet"/>
      <w:lvlText w:val="-"/>
      <w:lvlJc w:val="left"/>
      <w:pPr>
        <w:tabs>
          <w:tab w:val="num" w:pos="-360"/>
        </w:tabs>
        <w:ind w:left="432" w:hanging="432"/>
      </w:pPr>
      <w:rPr>
        <w:rFonts w:ascii="Times New Roman" w:eastAsia="Calibri" w:hAnsi="Times New Roman" w:cs="Times New Roman" w:hint="default"/>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4A596C24"/>
    <w:multiLevelType w:val="hybridMultilevel"/>
    <w:tmpl w:val="C784939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844BAD"/>
    <w:multiLevelType w:val="hybridMultilevel"/>
    <w:tmpl w:val="86480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7D408C"/>
    <w:multiLevelType w:val="hybridMultilevel"/>
    <w:tmpl w:val="E24633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35183"/>
    <w:multiLevelType w:val="hybridMultilevel"/>
    <w:tmpl w:val="A8CC229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AD76ACF"/>
    <w:multiLevelType w:val="hybridMultilevel"/>
    <w:tmpl w:val="B43CEE5C"/>
    <w:lvl w:ilvl="0" w:tplc="04260001">
      <w:start w:val="1"/>
      <w:numFmt w:val="bullet"/>
      <w:lvlText w:val=""/>
      <w:lvlJc w:val="left"/>
      <w:pPr>
        <w:ind w:left="1077" w:hanging="360"/>
      </w:pPr>
      <w:rPr>
        <w:rFonts w:ascii="Symbol" w:hAnsi="Symbol" w:cs="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7" w15:restartNumberingAfterBreak="0">
    <w:nsid w:val="7E0E2F87"/>
    <w:multiLevelType w:val="multilevel"/>
    <w:tmpl w:val="3DD2ECB6"/>
    <w:lvl w:ilvl="0">
      <w:start w:val="1"/>
      <w:numFmt w:val="decimal"/>
      <w:lvlText w:val="%1."/>
      <w:lvlJc w:val="left"/>
      <w:pPr>
        <w:ind w:left="360" w:hanging="360"/>
      </w:pPr>
      <w:rPr>
        <w:rFonts w:hint="default"/>
        <w:b/>
        <w:bCs/>
        <w:color w:val="2F5496" w:themeColor="accent1" w:themeShade="BF"/>
        <w:sz w:val="28"/>
        <w:szCs w:val="28"/>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C63953"/>
    <w:multiLevelType w:val="hybridMultilevel"/>
    <w:tmpl w:val="E81C428C"/>
    <w:lvl w:ilvl="0" w:tplc="0426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11"/>
  </w:num>
  <w:num w:numId="3">
    <w:abstractNumId w:val="6"/>
  </w:num>
  <w:num w:numId="4">
    <w:abstractNumId w:val="17"/>
  </w:num>
  <w:num w:numId="5">
    <w:abstractNumId w:val="5"/>
  </w:num>
  <w:num w:numId="6">
    <w:abstractNumId w:val="8"/>
  </w:num>
  <w:num w:numId="7">
    <w:abstractNumId w:val="15"/>
  </w:num>
  <w:num w:numId="8">
    <w:abstractNumId w:val="7"/>
  </w:num>
  <w:num w:numId="9">
    <w:abstractNumId w:val="18"/>
  </w:num>
  <w:num w:numId="10">
    <w:abstractNumId w:val="12"/>
  </w:num>
  <w:num w:numId="11">
    <w:abstractNumId w:val="2"/>
  </w:num>
  <w:num w:numId="12">
    <w:abstractNumId w:val="9"/>
  </w:num>
  <w:num w:numId="13">
    <w:abstractNumId w:val="10"/>
  </w:num>
  <w:num w:numId="14">
    <w:abstractNumId w:val="16"/>
  </w:num>
  <w:num w:numId="15">
    <w:abstractNumId w:val="1"/>
  </w:num>
  <w:num w:numId="16">
    <w:abstractNumId w:val="4"/>
  </w:num>
  <w:num w:numId="17">
    <w:abstractNumId w:val="3"/>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03"/>
    <w:rsid w:val="00001196"/>
    <w:rsid w:val="00002C49"/>
    <w:rsid w:val="0002196C"/>
    <w:rsid w:val="00022A88"/>
    <w:rsid w:val="00033D26"/>
    <w:rsid w:val="00077DCC"/>
    <w:rsid w:val="000856C8"/>
    <w:rsid w:val="000A4DC0"/>
    <w:rsid w:val="000A7171"/>
    <w:rsid w:val="000B758F"/>
    <w:rsid w:val="000C03F8"/>
    <w:rsid w:val="000C297E"/>
    <w:rsid w:val="000E2D46"/>
    <w:rsid w:val="00104530"/>
    <w:rsid w:val="00134FD2"/>
    <w:rsid w:val="0015540B"/>
    <w:rsid w:val="001728A6"/>
    <w:rsid w:val="002061F2"/>
    <w:rsid w:val="00213FF3"/>
    <w:rsid w:val="0022564F"/>
    <w:rsid w:val="00240EF4"/>
    <w:rsid w:val="00241BEE"/>
    <w:rsid w:val="00245A28"/>
    <w:rsid w:val="002521DA"/>
    <w:rsid w:val="002739C9"/>
    <w:rsid w:val="002F4D8E"/>
    <w:rsid w:val="0033360B"/>
    <w:rsid w:val="00333901"/>
    <w:rsid w:val="0036376A"/>
    <w:rsid w:val="00371ABD"/>
    <w:rsid w:val="00382123"/>
    <w:rsid w:val="003844DB"/>
    <w:rsid w:val="003876F8"/>
    <w:rsid w:val="003D2962"/>
    <w:rsid w:val="003E79C6"/>
    <w:rsid w:val="004217E6"/>
    <w:rsid w:val="00443EBB"/>
    <w:rsid w:val="0045663D"/>
    <w:rsid w:val="00456899"/>
    <w:rsid w:val="00460376"/>
    <w:rsid w:val="0048102B"/>
    <w:rsid w:val="00511238"/>
    <w:rsid w:val="00514D3F"/>
    <w:rsid w:val="00527A8F"/>
    <w:rsid w:val="00527ABD"/>
    <w:rsid w:val="005A56FC"/>
    <w:rsid w:val="005B7C02"/>
    <w:rsid w:val="005C6FEC"/>
    <w:rsid w:val="005D217E"/>
    <w:rsid w:val="005F4B51"/>
    <w:rsid w:val="00654A01"/>
    <w:rsid w:val="00671EDD"/>
    <w:rsid w:val="0067582E"/>
    <w:rsid w:val="00683269"/>
    <w:rsid w:val="00684043"/>
    <w:rsid w:val="006A1F45"/>
    <w:rsid w:val="006A5847"/>
    <w:rsid w:val="006D019E"/>
    <w:rsid w:val="006D2CDA"/>
    <w:rsid w:val="006E0C5B"/>
    <w:rsid w:val="006E1898"/>
    <w:rsid w:val="00700E8A"/>
    <w:rsid w:val="00711E3B"/>
    <w:rsid w:val="00716271"/>
    <w:rsid w:val="0073201F"/>
    <w:rsid w:val="00736084"/>
    <w:rsid w:val="00737BF7"/>
    <w:rsid w:val="00756DB4"/>
    <w:rsid w:val="00767566"/>
    <w:rsid w:val="00767A4E"/>
    <w:rsid w:val="00772673"/>
    <w:rsid w:val="00791179"/>
    <w:rsid w:val="00845846"/>
    <w:rsid w:val="008762C3"/>
    <w:rsid w:val="008C30AC"/>
    <w:rsid w:val="009409F9"/>
    <w:rsid w:val="009459DC"/>
    <w:rsid w:val="00966C7D"/>
    <w:rsid w:val="00970FD7"/>
    <w:rsid w:val="009A6F8A"/>
    <w:rsid w:val="009B1F73"/>
    <w:rsid w:val="009B3855"/>
    <w:rsid w:val="009D2D1F"/>
    <w:rsid w:val="00A16BF3"/>
    <w:rsid w:val="00A171BA"/>
    <w:rsid w:val="00A62D23"/>
    <w:rsid w:val="00AB640D"/>
    <w:rsid w:val="00AC06D2"/>
    <w:rsid w:val="00B040C3"/>
    <w:rsid w:val="00B131A2"/>
    <w:rsid w:val="00B34E5E"/>
    <w:rsid w:val="00B42C20"/>
    <w:rsid w:val="00BA2C66"/>
    <w:rsid w:val="00BE0CAE"/>
    <w:rsid w:val="00C42A18"/>
    <w:rsid w:val="00C46750"/>
    <w:rsid w:val="00C66912"/>
    <w:rsid w:val="00C73403"/>
    <w:rsid w:val="00C869FE"/>
    <w:rsid w:val="00CC3A5A"/>
    <w:rsid w:val="00D04DA5"/>
    <w:rsid w:val="00D114A6"/>
    <w:rsid w:val="00D17C79"/>
    <w:rsid w:val="00D32602"/>
    <w:rsid w:val="00D57B66"/>
    <w:rsid w:val="00D9068D"/>
    <w:rsid w:val="00D91BA6"/>
    <w:rsid w:val="00DB621D"/>
    <w:rsid w:val="00DC541D"/>
    <w:rsid w:val="00DD0FE3"/>
    <w:rsid w:val="00DD2D24"/>
    <w:rsid w:val="00DE6762"/>
    <w:rsid w:val="00E013F6"/>
    <w:rsid w:val="00E116B8"/>
    <w:rsid w:val="00E162D6"/>
    <w:rsid w:val="00E22131"/>
    <w:rsid w:val="00E62FD2"/>
    <w:rsid w:val="00E66DE6"/>
    <w:rsid w:val="00E70611"/>
    <w:rsid w:val="00E735D4"/>
    <w:rsid w:val="00E80C50"/>
    <w:rsid w:val="00E85DDC"/>
    <w:rsid w:val="00E95610"/>
    <w:rsid w:val="00E9611F"/>
    <w:rsid w:val="00EF5AF4"/>
    <w:rsid w:val="00F32D83"/>
    <w:rsid w:val="00F87A7D"/>
    <w:rsid w:val="00FA07B4"/>
    <w:rsid w:val="00FA4994"/>
    <w:rsid w:val="00FA6C6A"/>
    <w:rsid w:val="00FB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FC95"/>
  <w15:chartTrackingRefBased/>
  <w15:docId w15:val="{33B64AA9-7206-494C-A927-B674B3F2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03"/>
    <w:rPr>
      <w:lang w:val="lv-LV"/>
    </w:rPr>
  </w:style>
  <w:style w:type="paragraph" w:styleId="Heading1">
    <w:name w:val="heading 1"/>
    <w:basedOn w:val="Normal"/>
    <w:next w:val="Normal"/>
    <w:link w:val="Heading1Char"/>
    <w:uiPriority w:val="9"/>
    <w:qFormat/>
    <w:rsid w:val="00E735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5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35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403"/>
    <w:pPr>
      <w:ind w:left="720"/>
      <w:contextualSpacing/>
    </w:pPr>
  </w:style>
  <w:style w:type="paragraph" w:customStyle="1" w:styleId="teksts">
    <w:name w:val="teksts"/>
    <w:basedOn w:val="Normal"/>
    <w:uiPriority w:val="99"/>
    <w:qFormat/>
    <w:rsid w:val="00C73403"/>
    <w:pPr>
      <w:spacing w:after="0" w:line="360" w:lineRule="auto"/>
      <w:ind w:firstLine="567"/>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67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1196"/>
    <w:rPr>
      <w:i/>
      <w:iCs/>
    </w:rPr>
  </w:style>
  <w:style w:type="character" w:styleId="Strong">
    <w:name w:val="Strong"/>
    <w:basedOn w:val="DefaultParagraphFont"/>
    <w:uiPriority w:val="22"/>
    <w:qFormat/>
    <w:rsid w:val="00DE6762"/>
    <w:rPr>
      <w:b/>
      <w:bCs/>
    </w:rPr>
  </w:style>
  <w:style w:type="paragraph" w:styleId="Header">
    <w:name w:val="header"/>
    <w:basedOn w:val="Normal"/>
    <w:link w:val="HeaderChar"/>
    <w:uiPriority w:val="99"/>
    <w:unhideWhenUsed/>
    <w:rsid w:val="001554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540B"/>
    <w:rPr>
      <w:lang w:val="lv-LV"/>
    </w:rPr>
  </w:style>
  <w:style w:type="paragraph" w:styleId="Footer">
    <w:name w:val="footer"/>
    <w:basedOn w:val="Normal"/>
    <w:link w:val="FooterChar"/>
    <w:uiPriority w:val="99"/>
    <w:unhideWhenUsed/>
    <w:rsid w:val="001554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540B"/>
    <w:rPr>
      <w:lang w:val="lv-LV"/>
    </w:rPr>
  </w:style>
  <w:style w:type="character" w:customStyle="1" w:styleId="Heading1Char">
    <w:name w:val="Heading 1 Char"/>
    <w:basedOn w:val="DefaultParagraphFont"/>
    <w:link w:val="Heading1"/>
    <w:uiPriority w:val="9"/>
    <w:rsid w:val="00E735D4"/>
    <w:rPr>
      <w:rFonts w:asciiTheme="majorHAnsi" w:eastAsiaTheme="majorEastAsia" w:hAnsiTheme="majorHAnsi" w:cstheme="majorBidi"/>
      <w:color w:val="2F5496" w:themeColor="accent1" w:themeShade="BF"/>
      <w:sz w:val="32"/>
      <w:szCs w:val="32"/>
      <w:lang w:val="lv-LV"/>
    </w:rPr>
  </w:style>
  <w:style w:type="paragraph" w:styleId="TOCHeading">
    <w:name w:val="TOC Heading"/>
    <w:basedOn w:val="Heading1"/>
    <w:next w:val="Normal"/>
    <w:uiPriority w:val="39"/>
    <w:unhideWhenUsed/>
    <w:qFormat/>
    <w:rsid w:val="00E735D4"/>
    <w:pPr>
      <w:outlineLvl w:val="9"/>
    </w:pPr>
    <w:rPr>
      <w:lang w:val="en-US"/>
    </w:rPr>
  </w:style>
  <w:style w:type="character" w:customStyle="1" w:styleId="Heading2Char">
    <w:name w:val="Heading 2 Char"/>
    <w:basedOn w:val="DefaultParagraphFont"/>
    <w:link w:val="Heading2"/>
    <w:uiPriority w:val="9"/>
    <w:rsid w:val="00E735D4"/>
    <w:rPr>
      <w:rFonts w:asciiTheme="majorHAnsi" w:eastAsiaTheme="majorEastAsia" w:hAnsiTheme="majorHAnsi" w:cstheme="majorBidi"/>
      <w:color w:val="2F5496" w:themeColor="accent1" w:themeShade="BF"/>
      <w:sz w:val="26"/>
      <w:szCs w:val="26"/>
      <w:lang w:val="lv-LV"/>
    </w:rPr>
  </w:style>
  <w:style w:type="character" w:customStyle="1" w:styleId="Heading3Char">
    <w:name w:val="Heading 3 Char"/>
    <w:basedOn w:val="DefaultParagraphFont"/>
    <w:link w:val="Heading3"/>
    <w:uiPriority w:val="9"/>
    <w:rsid w:val="00E735D4"/>
    <w:rPr>
      <w:rFonts w:asciiTheme="majorHAnsi" w:eastAsiaTheme="majorEastAsia" w:hAnsiTheme="majorHAnsi" w:cstheme="majorBidi"/>
      <w:color w:val="1F3763" w:themeColor="accent1" w:themeShade="7F"/>
      <w:sz w:val="24"/>
      <w:szCs w:val="24"/>
      <w:lang w:val="lv-LV"/>
    </w:rPr>
  </w:style>
  <w:style w:type="paragraph" w:styleId="TOC1">
    <w:name w:val="toc 1"/>
    <w:basedOn w:val="Normal"/>
    <w:next w:val="Normal"/>
    <w:autoRedefine/>
    <w:uiPriority w:val="39"/>
    <w:unhideWhenUsed/>
    <w:rsid w:val="000856C8"/>
    <w:pPr>
      <w:spacing w:after="100"/>
    </w:pPr>
  </w:style>
  <w:style w:type="paragraph" w:styleId="TOC2">
    <w:name w:val="toc 2"/>
    <w:basedOn w:val="Normal"/>
    <w:next w:val="Normal"/>
    <w:autoRedefine/>
    <w:uiPriority w:val="39"/>
    <w:unhideWhenUsed/>
    <w:rsid w:val="000856C8"/>
    <w:pPr>
      <w:spacing w:after="100"/>
      <w:ind w:left="220"/>
    </w:pPr>
  </w:style>
  <w:style w:type="paragraph" w:styleId="TOC3">
    <w:name w:val="toc 3"/>
    <w:basedOn w:val="Normal"/>
    <w:next w:val="Normal"/>
    <w:autoRedefine/>
    <w:uiPriority w:val="39"/>
    <w:unhideWhenUsed/>
    <w:rsid w:val="000856C8"/>
    <w:pPr>
      <w:spacing w:after="100"/>
      <w:ind w:left="440"/>
    </w:pPr>
  </w:style>
  <w:style w:type="character" w:styleId="Hyperlink">
    <w:name w:val="Hyperlink"/>
    <w:basedOn w:val="DefaultParagraphFont"/>
    <w:uiPriority w:val="99"/>
    <w:unhideWhenUsed/>
    <w:rsid w:val="00085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070">
      <w:bodyDiv w:val="1"/>
      <w:marLeft w:val="0"/>
      <w:marRight w:val="0"/>
      <w:marTop w:val="0"/>
      <w:marBottom w:val="0"/>
      <w:divBdr>
        <w:top w:val="none" w:sz="0" w:space="0" w:color="auto"/>
        <w:left w:val="none" w:sz="0" w:space="0" w:color="auto"/>
        <w:bottom w:val="none" w:sz="0" w:space="0" w:color="auto"/>
        <w:right w:val="none" w:sz="0" w:space="0" w:color="auto"/>
      </w:divBdr>
    </w:div>
    <w:div w:id="828442261">
      <w:bodyDiv w:val="1"/>
      <w:marLeft w:val="0"/>
      <w:marRight w:val="0"/>
      <w:marTop w:val="0"/>
      <w:marBottom w:val="0"/>
      <w:divBdr>
        <w:top w:val="none" w:sz="0" w:space="0" w:color="auto"/>
        <w:left w:val="none" w:sz="0" w:space="0" w:color="auto"/>
        <w:bottom w:val="none" w:sz="0" w:space="0" w:color="auto"/>
        <w:right w:val="none" w:sz="0" w:space="0" w:color="auto"/>
      </w:divBdr>
    </w:div>
    <w:div w:id="20267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_2018_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_2018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_2018_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_2018_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_2018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_2018_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jlkmn\Documents\Atskaites\Statistika\Kopsav_Amb_DS_Stac_Z.a_2018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727630888271266E-2"/>
          <c:y val="2.5262541283254655E-2"/>
          <c:w val="0.79804093129714904"/>
          <c:h val="0.92453255045128457"/>
        </c:manualLayout>
      </c:layout>
      <c:barChart>
        <c:barDir val="col"/>
        <c:grouping val="clustered"/>
        <c:varyColors val="0"/>
        <c:ser>
          <c:idx val="0"/>
          <c:order val="0"/>
          <c:tx>
            <c:strRef>
              <c:f>Ambulat!$B$13</c:f>
              <c:strCache>
                <c:ptCount val="1"/>
                <c:pt idx="0">
                  <c:v>Pirmreizēji</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Ambulat!$B$14:$B$19</c:f>
              <c:numCache>
                <c:formatCode>General</c:formatCode>
                <c:ptCount val="6"/>
                <c:pt idx="0">
                  <c:v>88926</c:v>
                </c:pt>
                <c:pt idx="1">
                  <c:v>95006</c:v>
                </c:pt>
                <c:pt idx="2">
                  <c:v>95819</c:v>
                </c:pt>
                <c:pt idx="3">
                  <c:v>99656</c:v>
                </c:pt>
                <c:pt idx="4">
                  <c:v>105170</c:v>
                </c:pt>
                <c:pt idx="5">
                  <c:v>83309</c:v>
                </c:pt>
              </c:numCache>
            </c:numRef>
          </c:val>
          <c:extLst>
            <c:ext xmlns:c16="http://schemas.microsoft.com/office/drawing/2014/chart" uri="{C3380CC4-5D6E-409C-BE32-E72D297353CC}">
              <c16:uniqueId val="{00000000-EEA6-4202-8BFC-0A09951C73DF}"/>
            </c:ext>
          </c:extLst>
        </c:ser>
        <c:ser>
          <c:idx val="1"/>
          <c:order val="1"/>
          <c:tx>
            <c:strRef>
              <c:f>Ambulat!$C$13</c:f>
              <c:strCache>
                <c:ptCount val="1"/>
                <c:pt idx="0">
                  <c:v>Atkārtoti</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Ambulat!$C$14:$C$19</c:f>
              <c:numCache>
                <c:formatCode>General</c:formatCode>
                <c:ptCount val="6"/>
                <c:pt idx="0">
                  <c:v>26530</c:v>
                </c:pt>
                <c:pt idx="1">
                  <c:v>30279</c:v>
                </c:pt>
                <c:pt idx="2">
                  <c:v>29060</c:v>
                </c:pt>
                <c:pt idx="3">
                  <c:v>27303</c:v>
                </c:pt>
                <c:pt idx="4">
                  <c:v>28708</c:v>
                </c:pt>
                <c:pt idx="5">
                  <c:v>24244</c:v>
                </c:pt>
              </c:numCache>
            </c:numRef>
          </c:val>
          <c:extLst>
            <c:ext xmlns:c16="http://schemas.microsoft.com/office/drawing/2014/chart" uri="{C3380CC4-5D6E-409C-BE32-E72D297353CC}">
              <c16:uniqueId val="{00000001-EEA6-4202-8BFC-0A09951C73DF}"/>
            </c:ext>
          </c:extLst>
        </c:ser>
        <c:ser>
          <c:idx val="2"/>
          <c:order val="2"/>
          <c:tx>
            <c:strRef>
              <c:f>Ambulat!$D$13</c:f>
              <c:strCache>
                <c:ptCount val="1"/>
                <c:pt idx="0">
                  <c:v>Uzņemšanā</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Ambulat!$D$14:$D$19</c:f>
              <c:numCache>
                <c:formatCode>General</c:formatCode>
                <c:ptCount val="6"/>
                <c:pt idx="0">
                  <c:v>8704</c:v>
                </c:pt>
                <c:pt idx="1">
                  <c:v>9696</c:v>
                </c:pt>
                <c:pt idx="2">
                  <c:v>10496</c:v>
                </c:pt>
                <c:pt idx="3">
                  <c:v>11279</c:v>
                </c:pt>
                <c:pt idx="4">
                  <c:v>12743</c:v>
                </c:pt>
                <c:pt idx="5">
                  <c:v>11517</c:v>
                </c:pt>
              </c:numCache>
            </c:numRef>
          </c:val>
          <c:extLst>
            <c:ext xmlns:c16="http://schemas.microsoft.com/office/drawing/2014/chart" uri="{C3380CC4-5D6E-409C-BE32-E72D297353CC}">
              <c16:uniqueId val="{00000002-EEA6-4202-8BFC-0A09951C73DF}"/>
            </c:ext>
          </c:extLst>
        </c:ser>
        <c:ser>
          <c:idx val="3"/>
          <c:order val="3"/>
          <c:tx>
            <c:strRef>
              <c:f>Ambulat!$E$13</c:f>
              <c:strCache>
                <c:ptCount val="1"/>
                <c:pt idx="0">
                  <c:v>KOPĀ</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Ambulat!$E$14:$E$19</c:f>
              <c:numCache>
                <c:formatCode>General</c:formatCode>
                <c:ptCount val="6"/>
                <c:pt idx="0">
                  <c:v>124160</c:v>
                </c:pt>
                <c:pt idx="1">
                  <c:v>134981</c:v>
                </c:pt>
                <c:pt idx="2">
                  <c:v>135375</c:v>
                </c:pt>
                <c:pt idx="3">
                  <c:v>138238</c:v>
                </c:pt>
                <c:pt idx="4">
                  <c:v>146621</c:v>
                </c:pt>
                <c:pt idx="5">
                  <c:v>119070</c:v>
                </c:pt>
              </c:numCache>
            </c:numRef>
          </c:val>
          <c:extLst>
            <c:ext xmlns:c16="http://schemas.microsoft.com/office/drawing/2014/chart" uri="{C3380CC4-5D6E-409C-BE32-E72D297353CC}">
              <c16:uniqueId val="{00000003-EEA6-4202-8BFC-0A09951C73DF}"/>
            </c:ext>
          </c:extLst>
        </c:ser>
        <c:dLbls>
          <c:showLegendKey val="0"/>
          <c:showVal val="0"/>
          <c:showCatName val="0"/>
          <c:showSerName val="0"/>
          <c:showPercent val="0"/>
          <c:showBubbleSize val="0"/>
        </c:dLbls>
        <c:gapWidth val="150"/>
        <c:axId val="81343616"/>
        <c:axId val="83079552"/>
      </c:barChart>
      <c:catAx>
        <c:axId val="81343616"/>
        <c:scaling>
          <c:orientation val="minMax"/>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lv-LV"/>
          </a:p>
        </c:txPr>
        <c:crossAx val="83079552"/>
        <c:crosses val="autoZero"/>
        <c:auto val="1"/>
        <c:lblAlgn val="ctr"/>
        <c:lblOffset val="100"/>
        <c:noMultiLvlLbl val="0"/>
      </c:catAx>
      <c:valAx>
        <c:axId val="83079552"/>
        <c:scaling>
          <c:orientation val="minMax"/>
        </c:scaling>
        <c:delete val="0"/>
        <c:axPos val="l"/>
        <c:majorGridlines/>
        <c:title>
          <c:tx>
            <c:rich>
              <a:bodyPr rot="-5400000" vert="horz"/>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izmeklējumu un aprūpes epizožu skaits </a:t>
                </a:r>
              </a:p>
            </c:rich>
          </c:tx>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lv-LV"/>
          </a:p>
        </c:txPr>
        <c:crossAx val="81343616"/>
        <c:crosses val="autoZero"/>
        <c:crossBetween val="between"/>
      </c:valAx>
    </c:plotArea>
    <c:legend>
      <c:legendPos val="r"/>
      <c:layout>
        <c:manualLayout>
          <c:xMode val="edge"/>
          <c:yMode val="edge"/>
          <c:x val="0.88785522224672131"/>
          <c:y val="0.2920044349781013"/>
          <c:w val="0.11191450384760751"/>
          <c:h val="0.32037028051571198"/>
        </c:manualLayout>
      </c:layout>
      <c:overlay val="0"/>
      <c:txPr>
        <a:bodyPr/>
        <a:lstStyle/>
        <a:p>
          <a:pPr>
            <a:defRPr sz="8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44110157872059"/>
          <c:y val="3.9007092198581582E-2"/>
          <c:w val="0.66674297802326965"/>
          <c:h val="0.872157256938629"/>
        </c:manualLayout>
      </c:layout>
      <c:lineChart>
        <c:grouping val="standard"/>
        <c:varyColors val="0"/>
        <c:ser>
          <c:idx val="1"/>
          <c:order val="0"/>
          <c:tx>
            <c:strRef>
              <c:f>Ambulat!$A$29</c:f>
              <c:strCache>
                <c:ptCount val="1"/>
                <c:pt idx="0">
                  <c:v>Manipulāciju skaits</c:v>
                </c:pt>
              </c:strCache>
            </c:strRef>
          </c:tx>
          <c:dLbls>
            <c:spPr>
              <a:noFill/>
              <a:ln>
                <a:noFill/>
              </a:ln>
              <a:effectLst/>
            </c:spPr>
            <c:txPr>
              <a:bodyPr/>
              <a:lstStyle/>
              <a:p>
                <a:pPr>
                  <a:defRPr sz="800">
                    <a:latin typeface="Times New Roman" pitchFamily="18" charset="0"/>
                    <a:cs typeface="Times New Roman"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Ambulat!$B$29:$G$29</c:f>
              <c:numCache>
                <c:formatCode>General</c:formatCode>
                <c:ptCount val="6"/>
                <c:pt idx="0">
                  <c:v>156716</c:v>
                </c:pt>
                <c:pt idx="1">
                  <c:v>175167</c:v>
                </c:pt>
                <c:pt idx="2">
                  <c:v>177058</c:v>
                </c:pt>
                <c:pt idx="3">
                  <c:v>186899</c:v>
                </c:pt>
                <c:pt idx="4">
                  <c:v>216830</c:v>
                </c:pt>
                <c:pt idx="5">
                  <c:v>252740</c:v>
                </c:pt>
              </c:numCache>
            </c:numRef>
          </c:val>
          <c:smooth val="0"/>
          <c:extLst>
            <c:ext xmlns:c16="http://schemas.microsoft.com/office/drawing/2014/chart" uri="{C3380CC4-5D6E-409C-BE32-E72D297353CC}">
              <c16:uniqueId val="{00000000-5DCA-4D45-88CD-8314934BD467}"/>
            </c:ext>
          </c:extLst>
        </c:ser>
        <c:ser>
          <c:idx val="0"/>
          <c:order val="1"/>
          <c:tx>
            <c:strRef>
              <c:f>Ambulat!$A$28</c:f>
              <c:strCache>
                <c:ptCount val="1"/>
                <c:pt idx="0">
                  <c:v>Pacientu skaits</c:v>
                </c:pt>
              </c:strCache>
            </c:strRef>
          </c:tx>
          <c:dLbls>
            <c:spPr>
              <a:noFill/>
              <a:ln>
                <a:noFill/>
              </a:ln>
              <a:effectLst/>
            </c:spPr>
            <c:txPr>
              <a:bodyPr/>
              <a:lstStyle/>
              <a:p>
                <a:pPr>
                  <a:defRPr sz="800">
                    <a:latin typeface="Times New Roman" pitchFamily="18" charset="0"/>
                    <a:cs typeface="Times New Roman"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Ambulat!$B$28:$G$28</c:f>
              <c:numCache>
                <c:formatCode>General</c:formatCode>
                <c:ptCount val="6"/>
                <c:pt idx="0">
                  <c:v>121978</c:v>
                </c:pt>
                <c:pt idx="1">
                  <c:v>133145</c:v>
                </c:pt>
                <c:pt idx="2">
                  <c:v>136708</c:v>
                </c:pt>
                <c:pt idx="3">
                  <c:v>144810</c:v>
                </c:pt>
                <c:pt idx="4">
                  <c:v>166927</c:v>
                </c:pt>
                <c:pt idx="5">
                  <c:v>198515</c:v>
                </c:pt>
              </c:numCache>
            </c:numRef>
          </c:val>
          <c:smooth val="0"/>
          <c:extLst>
            <c:ext xmlns:c16="http://schemas.microsoft.com/office/drawing/2014/chart" uri="{C3380CC4-5D6E-409C-BE32-E72D297353CC}">
              <c16:uniqueId val="{00000001-5DCA-4D45-88CD-8314934BD467}"/>
            </c:ext>
          </c:extLst>
        </c:ser>
        <c:ser>
          <c:idx val="2"/>
          <c:order val="2"/>
          <c:tx>
            <c:strRef>
              <c:f>Ambulat!$A$30</c:f>
              <c:strCache>
                <c:ptCount val="1"/>
                <c:pt idx="0">
                  <c:v>vienā apmeklējuma reizē veiktās manipulācijas vienam pacientam</c:v>
                </c:pt>
              </c:strCache>
            </c:strRef>
          </c:tx>
          <c:dLbls>
            <c:spPr>
              <a:noFill/>
              <a:ln>
                <a:noFill/>
              </a:ln>
              <a:effectLst/>
            </c:spPr>
            <c:txPr>
              <a:bodyPr/>
              <a:lstStyle/>
              <a:p>
                <a:pPr>
                  <a:defRPr sz="800">
                    <a:latin typeface="Times New Roman" pitchFamily="18" charset="0"/>
                    <a:cs typeface="Times New Roman"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Ambulat!$B$30:$G$30</c:f>
              <c:numCache>
                <c:formatCode>0.00</c:formatCode>
                <c:ptCount val="6"/>
                <c:pt idx="0">
                  <c:v>1.2847890603223533</c:v>
                </c:pt>
                <c:pt idx="1">
                  <c:v>1.3156108002553606</c:v>
                </c:pt>
                <c:pt idx="2">
                  <c:v>1.2951546361588202</c:v>
                </c:pt>
                <c:pt idx="3">
                  <c:v>1.2906498170015879</c:v>
                </c:pt>
                <c:pt idx="4">
                  <c:v>1.2989510384778975</c:v>
                </c:pt>
                <c:pt idx="5">
                  <c:v>1.2731531622295544</c:v>
                </c:pt>
              </c:numCache>
            </c:numRef>
          </c:val>
          <c:smooth val="0"/>
          <c:extLst>
            <c:ext xmlns:c16="http://schemas.microsoft.com/office/drawing/2014/chart" uri="{C3380CC4-5D6E-409C-BE32-E72D297353CC}">
              <c16:uniqueId val="{00000002-5DCA-4D45-88CD-8314934BD467}"/>
            </c:ext>
          </c:extLst>
        </c:ser>
        <c:dLbls>
          <c:showLegendKey val="0"/>
          <c:showVal val="0"/>
          <c:showCatName val="0"/>
          <c:showSerName val="0"/>
          <c:showPercent val="0"/>
          <c:showBubbleSize val="0"/>
        </c:dLbls>
        <c:marker val="1"/>
        <c:smooth val="0"/>
        <c:axId val="83136512"/>
        <c:axId val="83138816"/>
      </c:lineChart>
      <c:catAx>
        <c:axId val="83136512"/>
        <c:scaling>
          <c:orientation val="minMax"/>
        </c:scaling>
        <c:delete val="0"/>
        <c:axPos val="b"/>
        <c:numFmt formatCode="General" sourceLinked="1"/>
        <c:majorTickMark val="out"/>
        <c:minorTickMark val="none"/>
        <c:tickLblPos val="nextTo"/>
        <c:crossAx val="83138816"/>
        <c:crosses val="autoZero"/>
        <c:auto val="1"/>
        <c:lblAlgn val="ctr"/>
        <c:lblOffset val="100"/>
        <c:noMultiLvlLbl val="0"/>
      </c:catAx>
      <c:valAx>
        <c:axId val="83138816"/>
        <c:scaling>
          <c:orientation val="minMax"/>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Manipulāciju/ pacientu skaits</a:t>
                </a:r>
              </a:p>
            </c:rich>
          </c:tx>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lv-LV"/>
          </a:p>
        </c:txPr>
        <c:crossAx val="83136512"/>
        <c:crosses val="autoZero"/>
        <c:crossBetween val="between"/>
      </c:valAx>
    </c:plotArea>
    <c:legend>
      <c:legendPos val="r"/>
      <c:layout>
        <c:manualLayout>
          <c:xMode val="edge"/>
          <c:yMode val="edge"/>
          <c:x val="0.78743275747248009"/>
          <c:y val="0.27216758809404223"/>
          <c:w val="0.20062694402005718"/>
          <c:h val="0.50885631317361923"/>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721431831877508E-2"/>
          <c:y val="3.9043209402119076E-2"/>
          <c:w val="0.84239219301071167"/>
          <c:h val="0.63693141055541713"/>
        </c:manualLayout>
      </c:layout>
      <c:barChart>
        <c:barDir val="col"/>
        <c:grouping val="clustered"/>
        <c:varyColors val="0"/>
        <c:ser>
          <c:idx val="0"/>
          <c:order val="0"/>
          <c:tx>
            <c:v>2015</c:v>
          </c:tx>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DS!$B$5:$B$13</c:f>
              <c:numCache>
                <c:formatCode>General</c:formatCode>
                <c:ptCount val="9"/>
                <c:pt idx="0">
                  <c:v>148</c:v>
                </c:pt>
                <c:pt idx="2">
                  <c:v>459</c:v>
                </c:pt>
                <c:pt idx="3">
                  <c:v>90</c:v>
                </c:pt>
                <c:pt idx="5">
                  <c:v>235</c:v>
                </c:pt>
                <c:pt idx="6">
                  <c:v>57</c:v>
                </c:pt>
                <c:pt idx="7">
                  <c:v>572</c:v>
                </c:pt>
                <c:pt idx="8">
                  <c:v>115</c:v>
                </c:pt>
              </c:numCache>
            </c:numRef>
          </c:val>
          <c:extLst>
            <c:ext xmlns:c16="http://schemas.microsoft.com/office/drawing/2014/chart" uri="{C3380CC4-5D6E-409C-BE32-E72D297353CC}">
              <c16:uniqueId val="{00000000-F091-49B6-82F6-0D99DDA53A34}"/>
            </c:ext>
          </c:extLst>
        </c:ser>
        <c:ser>
          <c:idx val="1"/>
          <c:order val="1"/>
          <c:tx>
            <c:v>2016</c:v>
          </c:tx>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DS!$C$5:$C$13</c:f>
              <c:numCache>
                <c:formatCode>General</c:formatCode>
                <c:ptCount val="9"/>
                <c:pt idx="0">
                  <c:v>519</c:v>
                </c:pt>
                <c:pt idx="2">
                  <c:v>40</c:v>
                </c:pt>
                <c:pt idx="3">
                  <c:v>180</c:v>
                </c:pt>
                <c:pt idx="5">
                  <c:v>249</c:v>
                </c:pt>
                <c:pt idx="6">
                  <c:v>56</c:v>
                </c:pt>
                <c:pt idx="7">
                  <c:v>549</c:v>
                </c:pt>
                <c:pt idx="8">
                  <c:v>161</c:v>
                </c:pt>
              </c:numCache>
            </c:numRef>
          </c:val>
          <c:extLst>
            <c:ext xmlns:c16="http://schemas.microsoft.com/office/drawing/2014/chart" uri="{C3380CC4-5D6E-409C-BE32-E72D297353CC}">
              <c16:uniqueId val="{00000001-F091-49B6-82F6-0D99DDA53A34}"/>
            </c:ext>
          </c:extLst>
        </c:ser>
        <c:ser>
          <c:idx val="2"/>
          <c:order val="2"/>
          <c:tx>
            <c:v>2017</c:v>
          </c:tx>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DS!$D$5:$D$13</c:f>
              <c:numCache>
                <c:formatCode>General</c:formatCode>
                <c:ptCount val="9"/>
                <c:pt idx="0">
                  <c:v>587</c:v>
                </c:pt>
                <c:pt idx="2">
                  <c:v>32</c:v>
                </c:pt>
                <c:pt idx="3">
                  <c:v>180</c:v>
                </c:pt>
                <c:pt idx="5">
                  <c:v>227</c:v>
                </c:pt>
                <c:pt idx="6">
                  <c:v>81</c:v>
                </c:pt>
                <c:pt idx="7">
                  <c:v>536</c:v>
                </c:pt>
                <c:pt idx="8">
                  <c:v>180</c:v>
                </c:pt>
              </c:numCache>
            </c:numRef>
          </c:val>
          <c:extLst>
            <c:ext xmlns:c16="http://schemas.microsoft.com/office/drawing/2014/chart" uri="{C3380CC4-5D6E-409C-BE32-E72D297353CC}">
              <c16:uniqueId val="{00000002-F091-49B6-82F6-0D99DDA53A34}"/>
            </c:ext>
          </c:extLst>
        </c:ser>
        <c:ser>
          <c:idx val="3"/>
          <c:order val="3"/>
          <c:tx>
            <c:v>2018</c:v>
          </c:tx>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DS!$E$5:$E$13</c:f>
              <c:numCache>
                <c:formatCode>General</c:formatCode>
                <c:ptCount val="9"/>
                <c:pt idx="0">
                  <c:v>180</c:v>
                </c:pt>
                <c:pt idx="1">
                  <c:v>517</c:v>
                </c:pt>
                <c:pt idx="2">
                  <c:v>78</c:v>
                </c:pt>
                <c:pt idx="3">
                  <c:v>196</c:v>
                </c:pt>
                <c:pt idx="4">
                  <c:v>25</c:v>
                </c:pt>
                <c:pt idx="5">
                  <c:v>283</c:v>
                </c:pt>
                <c:pt idx="6">
                  <c:v>63</c:v>
                </c:pt>
                <c:pt idx="7">
                  <c:v>555</c:v>
                </c:pt>
                <c:pt idx="8">
                  <c:v>112</c:v>
                </c:pt>
              </c:numCache>
            </c:numRef>
          </c:val>
          <c:extLst>
            <c:ext xmlns:c16="http://schemas.microsoft.com/office/drawing/2014/chart" uri="{C3380CC4-5D6E-409C-BE32-E72D297353CC}">
              <c16:uniqueId val="{00000003-F091-49B6-82F6-0D99DDA53A34}"/>
            </c:ext>
          </c:extLst>
        </c:ser>
        <c:ser>
          <c:idx val="4"/>
          <c:order val="4"/>
          <c:tx>
            <c:v>2019</c:v>
          </c:tx>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DS!$F$5:$F$13</c:f>
              <c:numCache>
                <c:formatCode>General</c:formatCode>
                <c:ptCount val="9"/>
                <c:pt idx="0">
                  <c:v>240</c:v>
                </c:pt>
                <c:pt idx="1">
                  <c:v>589</c:v>
                </c:pt>
                <c:pt idx="2">
                  <c:v>210</c:v>
                </c:pt>
                <c:pt idx="3">
                  <c:v>224</c:v>
                </c:pt>
                <c:pt idx="4">
                  <c:v>63</c:v>
                </c:pt>
                <c:pt idx="5">
                  <c:v>270</c:v>
                </c:pt>
                <c:pt idx="6">
                  <c:v>71</c:v>
                </c:pt>
                <c:pt idx="7">
                  <c:v>572</c:v>
                </c:pt>
                <c:pt idx="8">
                  <c:v>95</c:v>
                </c:pt>
              </c:numCache>
            </c:numRef>
          </c:val>
          <c:extLst>
            <c:ext xmlns:c16="http://schemas.microsoft.com/office/drawing/2014/chart" uri="{C3380CC4-5D6E-409C-BE32-E72D297353CC}">
              <c16:uniqueId val="{00000004-F091-49B6-82F6-0D99DDA53A34}"/>
            </c:ext>
          </c:extLst>
        </c:ser>
        <c:ser>
          <c:idx val="5"/>
          <c:order val="5"/>
          <c:tx>
            <c:v>2020</c:v>
          </c:tx>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DS!$G$5:$G$13</c:f>
              <c:numCache>
                <c:formatCode>General</c:formatCode>
                <c:ptCount val="9"/>
                <c:pt idx="0">
                  <c:v>200</c:v>
                </c:pt>
                <c:pt idx="1">
                  <c:v>497</c:v>
                </c:pt>
                <c:pt idx="2">
                  <c:v>108</c:v>
                </c:pt>
                <c:pt idx="3">
                  <c:v>279</c:v>
                </c:pt>
                <c:pt idx="4">
                  <c:v>133</c:v>
                </c:pt>
                <c:pt idx="5">
                  <c:v>108</c:v>
                </c:pt>
                <c:pt idx="6">
                  <c:v>51</c:v>
                </c:pt>
                <c:pt idx="7">
                  <c:v>469</c:v>
                </c:pt>
                <c:pt idx="8">
                  <c:v>96</c:v>
                </c:pt>
              </c:numCache>
            </c:numRef>
          </c:val>
          <c:extLst>
            <c:ext xmlns:c16="http://schemas.microsoft.com/office/drawing/2014/chart" uri="{C3380CC4-5D6E-409C-BE32-E72D297353CC}">
              <c16:uniqueId val="{00000005-F091-49B6-82F6-0D99DDA53A34}"/>
            </c:ext>
          </c:extLst>
        </c:ser>
        <c:dLbls>
          <c:showLegendKey val="0"/>
          <c:showVal val="0"/>
          <c:showCatName val="0"/>
          <c:showSerName val="0"/>
          <c:showPercent val="0"/>
          <c:showBubbleSize val="0"/>
        </c:dLbls>
        <c:gapWidth val="150"/>
        <c:axId val="108831104"/>
        <c:axId val="108833024"/>
      </c:barChart>
      <c:catAx>
        <c:axId val="108831104"/>
        <c:scaling>
          <c:orientation val="minMax"/>
        </c:scaling>
        <c:delete val="0"/>
        <c:axPos val="b"/>
        <c:numFmt formatCode="General" sourceLinked="0"/>
        <c:majorTickMark val="out"/>
        <c:minorTickMark val="none"/>
        <c:tickLblPos val="nextTo"/>
        <c:txPr>
          <a:bodyPr/>
          <a:lstStyle/>
          <a:p>
            <a:pPr>
              <a:defRPr sz="800">
                <a:solidFill>
                  <a:sysClr val="windowText" lastClr="000000"/>
                </a:solidFill>
                <a:latin typeface="Times New Roman" pitchFamily="18" charset="0"/>
                <a:cs typeface="Times New Roman" pitchFamily="18" charset="0"/>
              </a:defRPr>
            </a:pPr>
            <a:endParaRPr lang="lv-LV"/>
          </a:p>
        </c:txPr>
        <c:crossAx val="108833024"/>
        <c:crosses val="autoZero"/>
        <c:auto val="1"/>
        <c:lblAlgn val="ctr"/>
        <c:lblOffset val="100"/>
        <c:noMultiLvlLbl val="0"/>
      </c:catAx>
      <c:valAx>
        <c:axId val="108833024"/>
        <c:scaling>
          <c:orientation val="minMax"/>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Ārstēto pacientu skaits</a:t>
                </a:r>
              </a:p>
            </c:rich>
          </c:tx>
          <c:layout>
            <c:manualLayout>
              <c:xMode val="edge"/>
              <c:yMode val="edge"/>
              <c:x val="7.5378629870889507E-3"/>
              <c:y val="0.20480308326470695"/>
            </c:manualLayout>
          </c:layout>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lv-LV"/>
          </a:p>
        </c:txPr>
        <c:crossAx val="108831104"/>
        <c:crosses val="autoZero"/>
        <c:crossBetween val="between"/>
      </c:valAx>
    </c:plotArea>
    <c:legend>
      <c:legendPos val="r"/>
      <c:layout>
        <c:manualLayout>
          <c:xMode val="edge"/>
          <c:yMode val="edge"/>
          <c:x val="0.92723792134748617"/>
          <c:y val="0.33091332038383048"/>
          <c:w val="7.2762078652513815E-2"/>
          <c:h val="0.33817335923233921"/>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6962696593769"/>
          <c:y val="3.541512945484683E-2"/>
          <c:w val="0.70226777498763171"/>
          <c:h val="0.8723226022702496"/>
        </c:manualLayout>
      </c:layout>
      <c:barChart>
        <c:barDir val="col"/>
        <c:grouping val="clustered"/>
        <c:varyColors val="0"/>
        <c:ser>
          <c:idx val="0"/>
          <c:order val="0"/>
          <c:tx>
            <c:strRef>
              <c:f>DS!$A$34</c:f>
              <c:strCache>
                <c:ptCount val="1"/>
                <c:pt idx="0">
                  <c:v>Dienas stacionārā ārstēto pacientu skaits</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DS!$B$34:$G$34</c:f>
              <c:numCache>
                <c:formatCode>General</c:formatCode>
                <c:ptCount val="6"/>
                <c:pt idx="0">
                  <c:v>1676</c:v>
                </c:pt>
                <c:pt idx="1">
                  <c:v>1754</c:v>
                </c:pt>
                <c:pt idx="2">
                  <c:v>1823</c:v>
                </c:pt>
                <c:pt idx="3">
                  <c:v>2009</c:v>
                </c:pt>
                <c:pt idx="4">
                  <c:v>2334</c:v>
                </c:pt>
                <c:pt idx="5">
                  <c:v>1941</c:v>
                </c:pt>
              </c:numCache>
            </c:numRef>
          </c:val>
          <c:extLst>
            <c:ext xmlns:c16="http://schemas.microsoft.com/office/drawing/2014/chart" uri="{C3380CC4-5D6E-409C-BE32-E72D297353CC}">
              <c16:uniqueId val="{00000000-4307-4D64-9CD9-7471D1B2EBF0}"/>
            </c:ext>
          </c:extLst>
        </c:ser>
        <c:ser>
          <c:idx val="1"/>
          <c:order val="1"/>
          <c:tx>
            <c:strRef>
              <c:f>DS!$A$35</c:f>
              <c:strCache>
                <c:ptCount val="1"/>
                <c:pt idx="0">
                  <c:v>Pacientu pavadītais laiks dienas stacionārā (gultasdienas)</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DS!$B$35:$G$35</c:f>
              <c:numCache>
                <c:formatCode>General</c:formatCode>
                <c:ptCount val="6"/>
                <c:pt idx="0">
                  <c:v>3633</c:v>
                </c:pt>
                <c:pt idx="1">
                  <c:v>4197</c:v>
                </c:pt>
                <c:pt idx="2">
                  <c:v>4596</c:v>
                </c:pt>
                <c:pt idx="3">
                  <c:v>4246</c:v>
                </c:pt>
                <c:pt idx="4">
                  <c:v>4908</c:v>
                </c:pt>
                <c:pt idx="5">
                  <c:v>3558</c:v>
                </c:pt>
              </c:numCache>
            </c:numRef>
          </c:val>
          <c:extLst>
            <c:ext xmlns:c16="http://schemas.microsoft.com/office/drawing/2014/chart" uri="{C3380CC4-5D6E-409C-BE32-E72D297353CC}">
              <c16:uniqueId val="{00000001-4307-4D64-9CD9-7471D1B2EBF0}"/>
            </c:ext>
          </c:extLst>
        </c:ser>
        <c:dLbls>
          <c:showLegendKey val="0"/>
          <c:showVal val="0"/>
          <c:showCatName val="0"/>
          <c:showSerName val="0"/>
          <c:showPercent val="0"/>
          <c:showBubbleSize val="0"/>
        </c:dLbls>
        <c:gapWidth val="150"/>
        <c:axId val="136818048"/>
        <c:axId val="107795584"/>
      </c:barChart>
      <c:catAx>
        <c:axId val="13681804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107795584"/>
        <c:crosses val="autoZero"/>
        <c:auto val="1"/>
        <c:lblAlgn val="ctr"/>
        <c:lblOffset val="100"/>
        <c:noMultiLvlLbl val="0"/>
      </c:catAx>
      <c:valAx>
        <c:axId val="107795584"/>
        <c:scaling>
          <c:orientation val="minMax"/>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pacientu skaits; gultasdienu skaits</a:t>
                </a:r>
              </a:p>
            </c:rich>
          </c:tx>
          <c:layout>
            <c:manualLayout>
              <c:xMode val="edge"/>
              <c:yMode val="edge"/>
              <c:x val="3.7606517845435852E-2"/>
              <c:y val="0.18681313471859506"/>
            </c:manualLayout>
          </c:layout>
          <c:overlay val="0"/>
        </c:title>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lv-LV"/>
          </a:p>
        </c:txPr>
        <c:crossAx val="136818048"/>
        <c:crosses val="autoZero"/>
        <c:crossBetween val="between"/>
      </c:valAx>
    </c:plotArea>
    <c:legend>
      <c:legendPos val="r"/>
      <c:layout>
        <c:manualLayout>
          <c:xMode val="edge"/>
          <c:yMode val="edge"/>
          <c:x val="0.82460765138680736"/>
          <c:y val="0.23890459627631391"/>
          <c:w val="0.16720846687871083"/>
          <c:h val="0.46244789743487386"/>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11018843491051E-2"/>
          <c:y val="3.8956631536913019E-2"/>
          <c:w val="0.76458343940452955"/>
          <c:h val="0.83518969960719935"/>
        </c:manualLayout>
      </c:layout>
      <c:barChart>
        <c:barDir val="bar"/>
        <c:grouping val="clustered"/>
        <c:varyColors val="0"/>
        <c:ser>
          <c:idx val="1"/>
          <c:order val="0"/>
          <c:tx>
            <c:strRef>
              <c:f>'Stac (2)'!$A$29</c:f>
              <c:strCache>
                <c:ptCount val="1"/>
                <c:pt idx="0">
                  <c:v>Minimālais plānotais pacientu skaits Līgumā ar NVD</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'Stac (2)'!$B$29:$G$29</c:f>
              <c:numCache>
                <c:formatCode>General</c:formatCode>
                <c:ptCount val="6"/>
                <c:pt idx="0">
                  <c:v>9723</c:v>
                </c:pt>
                <c:pt idx="1">
                  <c:v>9723</c:v>
                </c:pt>
                <c:pt idx="2">
                  <c:v>9689</c:v>
                </c:pt>
                <c:pt idx="3">
                  <c:v>8718</c:v>
                </c:pt>
                <c:pt idx="4">
                  <c:v>9273</c:v>
                </c:pt>
                <c:pt idx="5">
                  <c:v>9622</c:v>
                </c:pt>
              </c:numCache>
            </c:numRef>
          </c:val>
          <c:extLst>
            <c:ext xmlns:c16="http://schemas.microsoft.com/office/drawing/2014/chart" uri="{C3380CC4-5D6E-409C-BE32-E72D297353CC}">
              <c16:uniqueId val="{00000000-B554-42A1-A8D7-5806F7DFD96B}"/>
            </c:ext>
          </c:extLst>
        </c:ser>
        <c:ser>
          <c:idx val="0"/>
          <c:order val="1"/>
          <c:tx>
            <c:strRef>
              <c:f>'Stac (2)'!$A$28</c:f>
              <c:strCache>
                <c:ptCount val="1"/>
                <c:pt idx="0">
                  <c:v>Ārstēto pacientu skaits</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2015</c:v>
              </c:pt>
              <c:pt idx="1">
                <c:v>2016</c:v>
              </c:pt>
              <c:pt idx="2">
                <c:v>2017</c:v>
              </c:pt>
              <c:pt idx="3">
                <c:v>2018</c:v>
              </c:pt>
              <c:pt idx="4">
                <c:v>2019</c:v>
              </c:pt>
              <c:pt idx="5">
                <c:v>2020</c:v>
              </c:pt>
            </c:numLit>
          </c:cat>
          <c:val>
            <c:numRef>
              <c:f>'Stac (2)'!$B$28:$G$28</c:f>
              <c:numCache>
                <c:formatCode>General</c:formatCode>
                <c:ptCount val="6"/>
                <c:pt idx="0">
                  <c:v>10412</c:v>
                </c:pt>
                <c:pt idx="1">
                  <c:v>10290</c:v>
                </c:pt>
                <c:pt idx="2">
                  <c:v>9619</c:v>
                </c:pt>
                <c:pt idx="3">
                  <c:v>9392</c:v>
                </c:pt>
                <c:pt idx="4">
                  <c:v>9408</c:v>
                </c:pt>
                <c:pt idx="5">
                  <c:v>7704</c:v>
                </c:pt>
              </c:numCache>
            </c:numRef>
          </c:val>
          <c:extLst>
            <c:ext xmlns:c16="http://schemas.microsoft.com/office/drawing/2014/chart" uri="{C3380CC4-5D6E-409C-BE32-E72D297353CC}">
              <c16:uniqueId val="{00000001-B554-42A1-A8D7-5806F7DFD96B}"/>
            </c:ext>
          </c:extLst>
        </c:ser>
        <c:dLbls>
          <c:showLegendKey val="0"/>
          <c:showVal val="0"/>
          <c:showCatName val="0"/>
          <c:showSerName val="0"/>
          <c:showPercent val="0"/>
          <c:showBubbleSize val="0"/>
        </c:dLbls>
        <c:gapWidth val="150"/>
        <c:axId val="99465856"/>
        <c:axId val="99852672"/>
      </c:barChart>
      <c:catAx>
        <c:axId val="9946585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99852672"/>
        <c:crosses val="autoZero"/>
        <c:auto val="1"/>
        <c:lblAlgn val="ctr"/>
        <c:lblOffset val="100"/>
        <c:noMultiLvlLbl val="0"/>
      </c:catAx>
      <c:valAx>
        <c:axId val="99852672"/>
        <c:scaling>
          <c:orientation val="minMax"/>
        </c:scaling>
        <c:delete val="0"/>
        <c:axPos val="b"/>
        <c:majorGridlines/>
        <c:title>
          <c:tx>
            <c:rich>
              <a:bodyPr/>
              <a:lstStyle/>
              <a:p>
                <a:pPr>
                  <a:defRPr/>
                </a:pPr>
                <a:r>
                  <a:rPr lang="en-US" sz="900" b="0">
                    <a:latin typeface="Times New Roman" pitchFamily="18" charset="0"/>
                    <a:cs typeface="Times New Roman" pitchFamily="18" charset="0"/>
                  </a:rPr>
                  <a:t>Pacientu skaits</a:t>
                </a:r>
              </a:p>
            </c:rich>
          </c:tx>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99465856"/>
        <c:crosses val="autoZero"/>
        <c:crossBetween val="between"/>
      </c:valAx>
    </c:plotArea>
    <c:legend>
      <c:legendPos val="r"/>
      <c:layout>
        <c:manualLayout>
          <c:xMode val="edge"/>
          <c:yMode val="edge"/>
          <c:x val="0.82958618594535527"/>
          <c:y val="0.27209994090973355"/>
          <c:w val="0.16222992573178868"/>
          <c:h val="0.3465996884027196"/>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84042529992848"/>
          <c:y val="0.10499805077358368"/>
          <c:w val="0.50614285501137313"/>
          <c:h val="0.86083415736252711"/>
        </c:manualLayout>
      </c:layout>
      <c:pieChart>
        <c:varyColors val="1"/>
        <c:ser>
          <c:idx val="0"/>
          <c:order val="0"/>
          <c:explosion val="25"/>
          <c:dLbls>
            <c:spPr>
              <a:noFill/>
              <a:ln>
                <a:noFill/>
              </a:ln>
              <a:effectLst/>
            </c:spPr>
            <c:txPr>
              <a:bodyPr/>
              <a:lstStyle/>
              <a:p>
                <a:pPr>
                  <a:defRPr sz="800">
                    <a:latin typeface="Times New Roman" pitchFamily="18" charset="0"/>
                    <a:cs typeface="Times New Roman" pitchFamily="18" charset="0"/>
                  </a:defRPr>
                </a:pPr>
                <a:endParaRPr lang="lv-LV"/>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'Stac (2)'!$A$51:$A$66</c:f>
              <c:strCache>
                <c:ptCount val="16"/>
                <c:pt idx="0">
                  <c:v>1. Terapijas </c:v>
                </c:pt>
                <c:pt idx="1">
                  <c:v>2. Terapijas </c:v>
                </c:pt>
                <c:pt idx="2">
                  <c:v>Ķirurģijas</c:v>
                </c:pt>
                <c:pt idx="3">
                  <c:v>Traumatoloģijas </c:v>
                </c:pt>
                <c:pt idx="4">
                  <c:v>LOR</c:v>
                </c:pt>
                <c:pt idx="5">
                  <c:v>Ginekoloģijas</c:v>
                </c:pt>
                <c:pt idx="6">
                  <c:v>Dzemdību</c:v>
                </c:pt>
                <c:pt idx="7">
                  <c:v>Bērnu </c:v>
                </c:pt>
                <c:pt idx="8">
                  <c:v>Tuberkolozes </c:v>
                </c:pt>
                <c:pt idx="9">
                  <c:v>Infekciju</c:v>
                </c:pt>
                <c:pt idx="10">
                  <c:v>Infekciju - Bērnu    </c:v>
                </c:pt>
                <c:pt idx="11">
                  <c:v>Uroloģijas </c:v>
                </c:pt>
                <c:pt idx="12">
                  <c:v>Neiroloģijas </c:v>
                </c:pt>
                <c:pt idx="13">
                  <c:v>PAC </c:v>
                </c:pt>
                <c:pt idx="14">
                  <c:v>Reanimācijas </c:v>
                </c:pt>
                <c:pt idx="15">
                  <c:v>Paliatīvās aprūpes </c:v>
                </c:pt>
              </c:strCache>
            </c:strRef>
          </c:cat>
          <c:val>
            <c:numRef>
              <c:f>'Stac (2)'!$B$51:$B$66</c:f>
              <c:numCache>
                <c:formatCode>General</c:formatCode>
                <c:ptCount val="16"/>
                <c:pt idx="0">
                  <c:v>803</c:v>
                </c:pt>
                <c:pt idx="1">
                  <c:v>320</c:v>
                </c:pt>
                <c:pt idx="2">
                  <c:v>1292</c:v>
                </c:pt>
                <c:pt idx="3">
                  <c:v>534</c:v>
                </c:pt>
                <c:pt idx="4">
                  <c:v>132</c:v>
                </c:pt>
                <c:pt idx="5">
                  <c:v>945</c:v>
                </c:pt>
                <c:pt idx="6">
                  <c:v>747</c:v>
                </c:pt>
                <c:pt idx="7">
                  <c:v>545</c:v>
                </c:pt>
                <c:pt idx="8">
                  <c:v>101</c:v>
                </c:pt>
                <c:pt idx="9">
                  <c:v>489</c:v>
                </c:pt>
                <c:pt idx="10">
                  <c:v>325</c:v>
                </c:pt>
                <c:pt idx="11">
                  <c:v>484</c:v>
                </c:pt>
                <c:pt idx="12">
                  <c:v>588</c:v>
                </c:pt>
                <c:pt idx="13">
                  <c:v>247</c:v>
                </c:pt>
                <c:pt idx="14">
                  <c:v>148</c:v>
                </c:pt>
                <c:pt idx="15">
                  <c:v>4</c:v>
                </c:pt>
              </c:numCache>
            </c:numRef>
          </c:val>
          <c:extLst>
            <c:ext xmlns:c16="http://schemas.microsoft.com/office/drawing/2014/chart" uri="{C3380CC4-5D6E-409C-BE32-E72D297353CC}">
              <c16:uniqueId val="{00000000-9899-4482-8562-29FC76C8F2A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5617795071582614"/>
          <c:y val="2.837644219051778E-2"/>
          <c:w val="0.13132827362745952"/>
          <c:h val="0.95033014150993356"/>
        </c:manualLayout>
      </c:layout>
      <c:overlay val="0"/>
      <c:txPr>
        <a:bodyPr/>
        <a:lstStyle/>
        <a:p>
          <a:pPr>
            <a:defRPr sz="8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txPr>
              <a:bodyPr/>
              <a:lstStyle/>
              <a:p>
                <a:pPr>
                  <a:defRPr sz="800">
                    <a:latin typeface="Times New Roman" pitchFamily="18" charset="0"/>
                    <a:cs typeface="Times New Roman" pitchFamily="18" charset="0"/>
                  </a:defRPr>
                </a:pPr>
                <a:endParaRPr lang="lv-LV"/>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'Stac (6)'!$A$24:$A$33</c:f>
              <c:strCache>
                <c:ptCount val="10"/>
                <c:pt idx="0">
                  <c:v>Nervu sistēmas operācijas</c:v>
                </c:pt>
                <c:pt idx="1">
                  <c:v>Ausu, kakla, deguna operācijas</c:v>
                </c:pt>
                <c:pt idx="2">
                  <c:v>Vēdera dobuma orgānu operācijas</c:v>
                </c:pt>
                <c:pt idx="3">
                  <c:v>Anus operācijas</c:v>
                </c:pt>
                <c:pt idx="4">
                  <c:v>Nieru, urīnizvadceļu, vīriešu dzimumorgānu, prostatas operācijas</c:v>
                </c:pt>
                <c:pt idx="5">
                  <c:v>Sieviešu dzimumorgānu operācijas</c:v>
                </c:pt>
                <c:pt idx="6">
                  <c:v>Dzemdniecības operācijas</c:v>
                </c:pt>
                <c:pt idx="7">
                  <c:v>Kaulu-muskuļu sistēmas operācijas</c:v>
                </c:pt>
                <c:pt idx="8">
                  <c:v>Ādas un zemādas audu operācijas</c:v>
                </c:pt>
                <c:pt idx="9">
                  <c:v>Pārējās operācijas</c:v>
                </c:pt>
              </c:strCache>
            </c:strRef>
          </c:cat>
          <c:val>
            <c:numRef>
              <c:f>'Stac (6)'!$B$24:$B$33</c:f>
              <c:numCache>
                <c:formatCode>General</c:formatCode>
                <c:ptCount val="10"/>
                <c:pt idx="0">
                  <c:v>35</c:v>
                </c:pt>
                <c:pt idx="1">
                  <c:v>6</c:v>
                </c:pt>
                <c:pt idx="2">
                  <c:v>342</c:v>
                </c:pt>
                <c:pt idx="3">
                  <c:v>1</c:v>
                </c:pt>
                <c:pt idx="4">
                  <c:v>133</c:v>
                </c:pt>
                <c:pt idx="5">
                  <c:v>77</c:v>
                </c:pt>
                <c:pt idx="6">
                  <c:v>289</c:v>
                </c:pt>
                <c:pt idx="7">
                  <c:v>169</c:v>
                </c:pt>
                <c:pt idx="8">
                  <c:v>7</c:v>
                </c:pt>
                <c:pt idx="9">
                  <c:v>289</c:v>
                </c:pt>
              </c:numCache>
            </c:numRef>
          </c:val>
          <c:extLst>
            <c:ext xmlns:c16="http://schemas.microsoft.com/office/drawing/2014/chart" uri="{C3380CC4-5D6E-409C-BE32-E72D297353CC}">
              <c16:uniqueId val="{00000000-6D96-4DAA-999A-A35155E1099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1064458839086173"/>
          <c:y val="7.0760123436924199E-2"/>
          <c:w val="0.18117143055988741"/>
          <c:h val="0.8545579562061435"/>
        </c:manualLayout>
      </c:layout>
      <c:overlay val="0"/>
      <c:txPr>
        <a:bodyPr/>
        <a:lstStyle/>
        <a:p>
          <a:pPr>
            <a:defRPr sz="8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BAF3-30B9-40A6-B76D-C3058301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26610</Words>
  <Characters>15168</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Jēkabpils Reģionālā Slimnīca</dc:creator>
  <cp:keywords/>
  <dc:description/>
  <cp:lastModifiedBy>Margarita Meļņikova</cp:lastModifiedBy>
  <cp:revision>9</cp:revision>
  <dcterms:created xsi:type="dcterms:W3CDTF">2021-03-24T16:56:00Z</dcterms:created>
  <dcterms:modified xsi:type="dcterms:W3CDTF">2021-03-25T04:47:00Z</dcterms:modified>
</cp:coreProperties>
</file>